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ECA4C1" w14:textId="77777777" w:rsidR="00F7133B" w:rsidRDefault="00F7133B" w:rsidP="00F7133B">
      <w:pPr>
        <w:pStyle w:val="Heading1"/>
        <w:rPr>
          <w:rFonts w:ascii="Times New Roman" w:hAnsi="Times New Roman" w:cs="Times New Roman"/>
          <w:color w:val="auto"/>
          <w:sz w:val="48"/>
          <w:szCs w:val="48"/>
          <w:lang w:eastAsia="en-GB"/>
        </w:rPr>
      </w:pPr>
      <w:r>
        <w:t>SMĚRNICE BOZP A PO</w:t>
      </w:r>
    </w:p>
    <w:p w14:paraId="197941FA" w14:textId="77777777" w:rsidR="00F7133B" w:rsidRDefault="00F7133B" w:rsidP="00F7133B">
      <w:pPr>
        <w:pStyle w:val="NormalWeb"/>
      </w:pPr>
      <w:r>
        <w:rPr>
          <w:rStyle w:val="Emphasis"/>
        </w:rPr>
        <w:t>(Bezpečnost a ochrana zdraví při práci a požární ochrana)</w:t>
      </w:r>
    </w:p>
    <w:p w14:paraId="5BE4E0B2" w14:textId="77777777" w:rsidR="00F7133B" w:rsidRDefault="00852703" w:rsidP="00F7133B">
      <w:r>
        <w:rPr>
          <w:noProof/>
        </w:rPr>
        <w:pict w14:anchorId="46DD3DED">
          <v:rect id="_x0000_i1037" alt="" style="width:413.4pt;height:.05pt;mso-width-percent:0;mso-height-percent:0;mso-width-percent:0;mso-height-percent:0" o:hrpct="916" o:hralign="center" o:hrstd="t" o:hr="t" fillcolor="#a0a0a0" stroked="f"/>
        </w:pict>
      </w:r>
    </w:p>
    <w:p w14:paraId="768CF470" w14:textId="77777777" w:rsidR="00F7133B" w:rsidRDefault="00F7133B" w:rsidP="00F7133B">
      <w:pPr>
        <w:pStyle w:val="Heading2"/>
      </w:pPr>
      <w:r>
        <w:t>1. O čem je tato směrnice a proč existuje</w:t>
      </w:r>
    </w:p>
    <w:p w14:paraId="188A5C7C" w14:textId="77777777" w:rsidR="00F7133B" w:rsidRDefault="00F7133B" w:rsidP="00F7133B">
      <w:pPr>
        <w:pStyle w:val="NormalWeb"/>
      </w:pPr>
      <w:r>
        <w:t xml:space="preserve">Tato směrnice stanovuje základní pravidla bezpečnosti a ochrany zdraví při práci (BOZP) a požární ochrany (PO) ve společnosti </w:t>
      </w:r>
      <w:r>
        <w:rPr>
          <w:rStyle w:val="Strong"/>
        </w:rPr>
        <w:t>[název firmy]</w:t>
      </w:r>
      <w:r>
        <w:t>.</w:t>
      </w:r>
    </w:p>
    <w:p w14:paraId="0F0AB4D3" w14:textId="77777777" w:rsidR="00F7133B" w:rsidRDefault="00F7133B" w:rsidP="00F7133B">
      <w:pPr>
        <w:pStyle w:val="NormalWeb"/>
      </w:pPr>
      <w:r>
        <w:t>Cílem směrnice je:</w:t>
      </w:r>
    </w:p>
    <w:p w14:paraId="28C7C9D6" w14:textId="77777777" w:rsidR="00F7133B" w:rsidRDefault="00F7133B" w:rsidP="00F7133B">
      <w:pPr>
        <w:pStyle w:val="NormalWeb"/>
        <w:numPr>
          <w:ilvl w:val="0"/>
          <w:numId w:val="6"/>
        </w:numPr>
        <w:overflowPunct/>
        <w:autoSpaceDE/>
        <w:autoSpaceDN/>
        <w:adjustRightInd/>
        <w:textAlignment w:val="auto"/>
      </w:pPr>
      <w:r>
        <w:t>chránit zdraví a život zaměstnanců,</w:t>
      </w:r>
    </w:p>
    <w:p w14:paraId="1396DFA7" w14:textId="77777777" w:rsidR="00F7133B" w:rsidRDefault="00F7133B" w:rsidP="00F7133B">
      <w:pPr>
        <w:pStyle w:val="NormalWeb"/>
        <w:numPr>
          <w:ilvl w:val="0"/>
          <w:numId w:val="6"/>
        </w:numPr>
        <w:overflowPunct/>
        <w:autoSpaceDE/>
        <w:autoSpaceDN/>
        <w:adjustRightInd/>
        <w:textAlignment w:val="auto"/>
      </w:pPr>
      <w:r>
        <w:t>předcházet pracovním úrazům, nemocem z povolání a požárům,</w:t>
      </w:r>
    </w:p>
    <w:p w14:paraId="1E0EB308" w14:textId="77777777" w:rsidR="00F7133B" w:rsidRDefault="00F7133B" w:rsidP="00F7133B">
      <w:pPr>
        <w:pStyle w:val="NormalWeb"/>
        <w:numPr>
          <w:ilvl w:val="0"/>
          <w:numId w:val="6"/>
        </w:numPr>
        <w:overflowPunct/>
        <w:autoSpaceDE/>
        <w:autoSpaceDN/>
        <w:adjustRightInd/>
        <w:textAlignment w:val="auto"/>
      </w:pPr>
      <w:r>
        <w:t>zajistit bezpečný provoz výrobních zařízení,</w:t>
      </w:r>
    </w:p>
    <w:p w14:paraId="34F6F793" w14:textId="77777777" w:rsidR="00F7133B" w:rsidRDefault="00F7133B" w:rsidP="00F7133B">
      <w:pPr>
        <w:pStyle w:val="NormalWeb"/>
        <w:numPr>
          <w:ilvl w:val="0"/>
          <w:numId w:val="6"/>
        </w:numPr>
        <w:overflowPunct/>
        <w:autoSpaceDE/>
        <w:autoSpaceDN/>
        <w:adjustRightInd/>
        <w:textAlignment w:val="auto"/>
      </w:pPr>
      <w:r>
        <w:t>splnit zákonné povinnosti zaměstnavatele i zaměstnanců.</w:t>
      </w:r>
    </w:p>
    <w:p w14:paraId="018488B0" w14:textId="77777777" w:rsidR="00F7133B" w:rsidRDefault="00F7133B" w:rsidP="00F7133B">
      <w:pPr>
        <w:pStyle w:val="NormalWeb"/>
      </w:pPr>
      <w:r>
        <w:t xml:space="preserve">Směrnice vychází z platných právních předpisů České republiky, zejména zákoníku práce a předpisů v oblasti BOZP a PO, ale je psaná tak, aby byla </w:t>
      </w:r>
      <w:r>
        <w:rPr>
          <w:rStyle w:val="Strong"/>
        </w:rPr>
        <w:t>prakticky použitelná v každodenním provozu</w:t>
      </w:r>
      <w:r>
        <w:t>.</w:t>
      </w:r>
    </w:p>
    <w:p w14:paraId="547C89F3" w14:textId="77777777" w:rsidR="00F7133B" w:rsidRDefault="00852703" w:rsidP="00F7133B">
      <w:r>
        <w:rPr>
          <w:noProof/>
        </w:rPr>
        <w:pict w14:anchorId="2473072E">
          <v:rect id="_x0000_i1036" alt="" style="width:413.4pt;height:.05pt;mso-width-percent:0;mso-height-percent:0;mso-width-percent:0;mso-height-percent:0" o:hrpct="916" o:hralign="center" o:hrstd="t" o:hr="t" fillcolor="#a0a0a0" stroked="f"/>
        </w:pict>
      </w:r>
    </w:p>
    <w:p w14:paraId="48C50A17" w14:textId="77777777" w:rsidR="00F7133B" w:rsidRDefault="00F7133B" w:rsidP="00F7133B">
      <w:pPr>
        <w:pStyle w:val="Heading2"/>
      </w:pPr>
      <w:r>
        <w:t>2. Pro koho platí a kdy se používá (rozsah)</w:t>
      </w:r>
    </w:p>
    <w:p w14:paraId="4A20FF5A" w14:textId="77777777" w:rsidR="00F7133B" w:rsidRDefault="00F7133B" w:rsidP="00F7133B">
      <w:pPr>
        <w:pStyle w:val="NormalWeb"/>
      </w:pPr>
      <w:r>
        <w:t>Tato směrnice platí pro:</w:t>
      </w:r>
    </w:p>
    <w:p w14:paraId="6EF10838" w14:textId="77777777" w:rsidR="00F7133B" w:rsidRDefault="00F7133B" w:rsidP="00F7133B">
      <w:pPr>
        <w:pStyle w:val="NormalWeb"/>
        <w:numPr>
          <w:ilvl w:val="0"/>
          <w:numId w:val="7"/>
        </w:numPr>
        <w:overflowPunct/>
        <w:autoSpaceDE/>
        <w:autoSpaceDN/>
        <w:adjustRightInd/>
        <w:textAlignment w:val="auto"/>
      </w:pPr>
      <w:r>
        <w:t xml:space="preserve">všechny zaměstnance společnosti </w:t>
      </w:r>
      <w:r>
        <w:rPr>
          <w:rStyle w:val="Strong"/>
        </w:rPr>
        <w:t>[název firmy]</w:t>
      </w:r>
      <w:r>
        <w:t>,</w:t>
      </w:r>
    </w:p>
    <w:p w14:paraId="2FD53518" w14:textId="77777777" w:rsidR="00F7133B" w:rsidRDefault="00F7133B" w:rsidP="00F7133B">
      <w:pPr>
        <w:pStyle w:val="NormalWeb"/>
        <w:numPr>
          <w:ilvl w:val="0"/>
          <w:numId w:val="7"/>
        </w:numPr>
        <w:overflowPunct/>
        <w:autoSpaceDE/>
        <w:autoSpaceDN/>
        <w:adjustRightInd/>
        <w:textAlignment w:val="auto"/>
      </w:pPr>
      <w:r>
        <w:t>vedoucí pracovníky na všech úrovních řízení,</w:t>
      </w:r>
    </w:p>
    <w:p w14:paraId="2162B103" w14:textId="77777777" w:rsidR="00F7133B" w:rsidRDefault="00F7133B" w:rsidP="00F7133B">
      <w:pPr>
        <w:pStyle w:val="NormalWeb"/>
        <w:numPr>
          <w:ilvl w:val="0"/>
          <w:numId w:val="7"/>
        </w:numPr>
        <w:overflowPunct/>
        <w:autoSpaceDE/>
        <w:autoSpaceDN/>
        <w:adjustRightInd/>
        <w:textAlignment w:val="auto"/>
      </w:pPr>
      <w:r>
        <w:t>osoby pohybující se na pracovištích firmy se souhlasem zaměstnavatele (např. návštěvy – v přiměřeném rozsahu).</w:t>
      </w:r>
    </w:p>
    <w:p w14:paraId="622D8B04" w14:textId="77777777" w:rsidR="00F7133B" w:rsidRDefault="00F7133B" w:rsidP="00F7133B">
      <w:pPr>
        <w:pStyle w:val="NormalWeb"/>
      </w:pPr>
      <w:r>
        <w:t>Směrnice se vztahuje na:</w:t>
      </w:r>
    </w:p>
    <w:p w14:paraId="083B0ADF" w14:textId="77777777" w:rsidR="00F7133B" w:rsidRDefault="00F7133B" w:rsidP="00F7133B">
      <w:pPr>
        <w:pStyle w:val="NormalWeb"/>
        <w:numPr>
          <w:ilvl w:val="0"/>
          <w:numId w:val="8"/>
        </w:numPr>
        <w:overflowPunct/>
        <w:autoSpaceDE/>
        <w:autoSpaceDN/>
        <w:adjustRightInd/>
        <w:textAlignment w:val="auto"/>
      </w:pPr>
      <w:r>
        <w:t>všechna pracoviště společnosti (výrobní haly, sklady, technické prostory, komunikace),</w:t>
      </w:r>
    </w:p>
    <w:p w14:paraId="5C1CCE7F" w14:textId="77777777" w:rsidR="00F7133B" w:rsidRDefault="00F7133B" w:rsidP="00F7133B">
      <w:pPr>
        <w:pStyle w:val="NormalWeb"/>
        <w:numPr>
          <w:ilvl w:val="0"/>
          <w:numId w:val="8"/>
        </w:numPr>
        <w:overflowPunct/>
        <w:autoSpaceDE/>
        <w:autoSpaceDN/>
        <w:adjustRightInd/>
        <w:textAlignment w:val="auto"/>
      </w:pPr>
      <w:r>
        <w:t>práci vykonávanou v rámci pracovního poměru na pracovišti firmy.</w:t>
      </w:r>
    </w:p>
    <w:p w14:paraId="582AD4E6" w14:textId="77777777" w:rsidR="00F7133B" w:rsidRDefault="00F7133B" w:rsidP="00F7133B">
      <w:pPr>
        <w:pStyle w:val="NormalWeb"/>
      </w:pPr>
      <w:r>
        <w:t xml:space="preserve">Firma </w:t>
      </w:r>
      <w:r>
        <w:rPr>
          <w:rStyle w:val="Strong"/>
        </w:rPr>
        <w:t>nevyužívá externisty</w:t>
      </w:r>
      <w:r>
        <w:t>, proto se směrnice zaměřuje výhradně na interní zaměstnance.</w:t>
      </w:r>
    </w:p>
    <w:p w14:paraId="7E365192" w14:textId="77777777" w:rsidR="00F7133B" w:rsidRDefault="00852703" w:rsidP="00F7133B">
      <w:r>
        <w:rPr>
          <w:noProof/>
        </w:rPr>
        <w:pict w14:anchorId="3FC01CB3">
          <v:rect id="_x0000_i1035" alt="" style="width:413.4pt;height:.05pt;mso-width-percent:0;mso-height-percent:0;mso-width-percent:0;mso-height-percent:0" o:hrpct="916" o:hralign="center" o:hrstd="t" o:hr="t" fillcolor="#a0a0a0" stroked="f"/>
        </w:pict>
      </w:r>
    </w:p>
    <w:p w14:paraId="04E43BF6" w14:textId="77777777" w:rsidR="00F7133B" w:rsidRDefault="00F7133B" w:rsidP="00F7133B">
      <w:pPr>
        <w:pStyle w:val="Heading2"/>
      </w:pPr>
      <w:r>
        <w:lastRenderedPageBreak/>
        <w:t>3. Odpovědnosti a role</w:t>
      </w:r>
    </w:p>
    <w:p w14:paraId="42DD11D3" w14:textId="77777777" w:rsidR="00F7133B" w:rsidRDefault="00F7133B" w:rsidP="00F7133B">
      <w:pPr>
        <w:pStyle w:val="Heading3"/>
      </w:pPr>
      <w:r>
        <w:t>3.1 Povinnosti zaměstnavatele</w:t>
      </w:r>
    </w:p>
    <w:p w14:paraId="3601B41A" w14:textId="77777777" w:rsidR="00F7133B" w:rsidRDefault="00F7133B" w:rsidP="00F7133B">
      <w:pPr>
        <w:pStyle w:val="NormalWeb"/>
      </w:pPr>
      <w:r>
        <w:t>Zaměstnavatel je povinen zejména:</w:t>
      </w:r>
    </w:p>
    <w:p w14:paraId="7A672B39" w14:textId="77777777" w:rsidR="00F7133B" w:rsidRDefault="00F7133B" w:rsidP="00F7133B">
      <w:pPr>
        <w:pStyle w:val="NormalWeb"/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t>vytvářet bezpečné pracovní podmínky,</w:t>
      </w:r>
    </w:p>
    <w:p w14:paraId="62F22B7B" w14:textId="77777777" w:rsidR="00F7133B" w:rsidRDefault="00F7133B" w:rsidP="00F7133B">
      <w:pPr>
        <w:pStyle w:val="NormalWeb"/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t>identifikovat rizika a přijímat opatření k jejich minimalizaci,</w:t>
      </w:r>
    </w:p>
    <w:p w14:paraId="7F7AFE99" w14:textId="77777777" w:rsidR="00F7133B" w:rsidRDefault="00F7133B" w:rsidP="00F7133B">
      <w:pPr>
        <w:pStyle w:val="NormalWeb"/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t>zajišťovat školení BOZP a PO,</w:t>
      </w:r>
    </w:p>
    <w:p w14:paraId="2C862985" w14:textId="77777777" w:rsidR="00F7133B" w:rsidRDefault="00F7133B" w:rsidP="00F7133B">
      <w:pPr>
        <w:pStyle w:val="NormalWeb"/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t>poskytovat zaměstnancům potřebné osobní ochranné pracovní prostředky (OOPP),</w:t>
      </w:r>
    </w:p>
    <w:p w14:paraId="31F3A969" w14:textId="77777777" w:rsidR="00F7133B" w:rsidRDefault="00F7133B" w:rsidP="00F7133B">
      <w:pPr>
        <w:pStyle w:val="NormalWeb"/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t>zajišťovat revize, kontroly a údržbu pracovních zařízení,</w:t>
      </w:r>
    </w:p>
    <w:p w14:paraId="6BB6EFAB" w14:textId="77777777" w:rsidR="00F7133B" w:rsidRDefault="00F7133B" w:rsidP="00F7133B">
      <w:pPr>
        <w:pStyle w:val="NormalWeb"/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t>řešit pracovní úrazy a mimořádné události.</w:t>
      </w:r>
    </w:p>
    <w:p w14:paraId="64155ABF" w14:textId="77777777" w:rsidR="00F7133B" w:rsidRDefault="00852703" w:rsidP="00F7133B">
      <w:r>
        <w:rPr>
          <w:noProof/>
        </w:rPr>
        <w:pict w14:anchorId="67FE3780">
          <v:rect id="_x0000_i1034" alt="" style="width:413.4pt;height:.05pt;mso-width-percent:0;mso-height-percent:0;mso-width-percent:0;mso-height-percent:0" o:hrpct="916" o:hralign="center" o:hrstd="t" o:hr="t" fillcolor="#a0a0a0" stroked="f"/>
        </w:pict>
      </w:r>
    </w:p>
    <w:p w14:paraId="22473352" w14:textId="77777777" w:rsidR="00F7133B" w:rsidRDefault="00F7133B" w:rsidP="00F7133B">
      <w:pPr>
        <w:pStyle w:val="Heading3"/>
      </w:pPr>
      <w:r>
        <w:t>3.2 Povinnosti vedoucích pracovníků</w:t>
      </w:r>
    </w:p>
    <w:p w14:paraId="208893C7" w14:textId="77777777" w:rsidR="00F7133B" w:rsidRDefault="00F7133B" w:rsidP="00F7133B">
      <w:pPr>
        <w:pStyle w:val="NormalWeb"/>
      </w:pPr>
      <w:r>
        <w:t>Vedoucí pracovníci odpovídají za:</w:t>
      </w:r>
    </w:p>
    <w:p w14:paraId="3299FB9B" w14:textId="77777777" w:rsidR="00F7133B" w:rsidRDefault="00F7133B" w:rsidP="00F7133B">
      <w:pPr>
        <w:pStyle w:val="NormalWeb"/>
        <w:numPr>
          <w:ilvl w:val="0"/>
          <w:numId w:val="10"/>
        </w:numPr>
        <w:overflowPunct/>
        <w:autoSpaceDE/>
        <w:autoSpaceDN/>
        <w:adjustRightInd/>
        <w:textAlignment w:val="auto"/>
      </w:pPr>
      <w:r>
        <w:t>dodržování BOZP a PO na svěřených pracovištích,</w:t>
      </w:r>
    </w:p>
    <w:p w14:paraId="585639A1" w14:textId="77777777" w:rsidR="00F7133B" w:rsidRDefault="00F7133B" w:rsidP="00F7133B">
      <w:pPr>
        <w:pStyle w:val="NormalWeb"/>
        <w:numPr>
          <w:ilvl w:val="0"/>
          <w:numId w:val="10"/>
        </w:numPr>
        <w:overflowPunct/>
        <w:autoSpaceDE/>
        <w:autoSpaceDN/>
        <w:adjustRightInd/>
        <w:textAlignment w:val="auto"/>
      </w:pPr>
      <w:r>
        <w:t>kontrolu bezpečného chování zaměstnanců,</w:t>
      </w:r>
    </w:p>
    <w:p w14:paraId="7EEDCAE6" w14:textId="77777777" w:rsidR="00F7133B" w:rsidRDefault="00F7133B" w:rsidP="00F7133B">
      <w:pPr>
        <w:pStyle w:val="NormalWeb"/>
        <w:numPr>
          <w:ilvl w:val="0"/>
          <w:numId w:val="10"/>
        </w:numPr>
        <w:overflowPunct/>
        <w:autoSpaceDE/>
        <w:autoSpaceDN/>
        <w:adjustRightInd/>
        <w:textAlignment w:val="auto"/>
      </w:pPr>
      <w:r>
        <w:t>řešení zjištěných nedostatků,</w:t>
      </w:r>
    </w:p>
    <w:p w14:paraId="038DCB99" w14:textId="77777777" w:rsidR="00F7133B" w:rsidRDefault="00F7133B" w:rsidP="00F7133B">
      <w:pPr>
        <w:pStyle w:val="NormalWeb"/>
        <w:numPr>
          <w:ilvl w:val="0"/>
          <w:numId w:val="10"/>
        </w:numPr>
        <w:overflowPunct/>
        <w:autoSpaceDE/>
        <w:autoSpaceDN/>
        <w:adjustRightInd/>
        <w:textAlignment w:val="auto"/>
      </w:pPr>
      <w:r>
        <w:t>okamžité řešení nebezpečných situací,</w:t>
      </w:r>
    </w:p>
    <w:p w14:paraId="71C87197" w14:textId="77777777" w:rsidR="00F7133B" w:rsidRDefault="00F7133B" w:rsidP="00F7133B">
      <w:pPr>
        <w:pStyle w:val="NormalWeb"/>
        <w:numPr>
          <w:ilvl w:val="0"/>
          <w:numId w:val="10"/>
        </w:numPr>
        <w:overflowPunct/>
        <w:autoSpaceDE/>
        <w:autoSpaceDN/>
        <w:adjustRightInd/>
        <w:textAlignment w:val="auto"/>
      </w:pPr>
      <w:r>
        <w:t>hlášení úrazů a mimořádných událostí.</w:t>
      </w:r>
    </w:p>
    <w:p w14:paraId="31BA92DC" w14:textId="77777777" w:rsidR="00F7133B" w:rsidRDefault="00852703" w:rsidP="00F7133B">
      <w:r>
        <w:rPr>
          <w:noProof/>
        </w:rPr>
        <w:pict w14:anchorId="558EB0E8">
          <v:rect id="_x0000_i1033" alt="" style="width:413.4pt;height:.05pt;mso-width-percent:0;mso-height-percent:0;mso-width-percent:0;mso-height-percent:0" o:hrpct="916" o:hralign="center" o:hrstd="t" o:hr="t" fillcolor="#a0a0a0" stroked="f"/>
        </w:pict>
      </w:r>
    </w:p>
    <w:p w14:paraId="5DA0D611" w14:textId="77777777" w:rsidR="00F7133B" w:rsidRDefault="00F7133B" w:rsidP="00F7133B">
      <w:pPr>
        <w:pStyle w:val="Heading3"/>
      </w:pPr>
      <w:r>
        <w:t>3.3 Povinnosti zaměstnanců</w:t>
      </w:r>
    </w:p>
    <w:p w14:paraId="7E412356" w14:textId="77777777" w:rsidR="00F7133B" w:rsidRDefault="00F7133B" w:rsidP="00F7133B">
      <w:pPr>
        <w:pStyle w:val="NormalWeb"/>
      </w:pPr>
      <w:r>
        <w:t>Každý zaměstnanec je povinen:</w:t>
      </w:r>
    </w:p>
    <w:p w14:paraId="23F5A04A" w14:textId="77777777" w:rsidR="00F7133B" w:rsidRDefault="00F7133B" w:rsidP="00F7133B">
      <w:pPr>
        <w:pStyle w:val="NormalWeb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dodržovat tuto směrnici a pokyny nadřízených,</w:t>
      </w:r>
    </w:p>
    <w:p w14:paraId="21130F13" w14:textId="77777777" w:rsidR="00F7133B" w:rsidRDefault="00F7133B" w:rsidP="00F7133B">
      <w:pPr>
        <w:pStyle w:val="NormalWeb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používat předepsané OOPP,</w:t>
      </w:r>
    </w:p>
    <w:p w14:paraId="73361DB9" w14:textId="77777777" w:rsidR="00F7133B" w:rsidRDefault="00F7133B" w:rsidP="00F7133B">
      <w:pPr>
        <w:pStyle w:val="NormalWeb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pracovat pouze s zařízeními, pro která je proškolen,</w:t>
      </w:r>
    </w:p>
    <w:p w14:paraId="7E1F2988" w14:textId="77777777" w:rsidR="00F7133B" w:rsidRDefault="00F7133B" w:rsidP="00F7133B">
      <w:pPr>
        <w:pStyle w:val="NormalWeb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neohrožovat sebe ani ostatní,</w:t>
      </w:r>
    </w:p>
    <w:p w14:paraId="0C8932D5" w14:textId="77777777" w:rsidR="00F7133B" w:rsidRDefault="00F7133B" w:rsidP="00F7133B">
      <w:pPr>
        <w:pStyle w:val="NormalWeb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hlásit závady, úrazy a nebezpečné situace,</w:t>
      </w:r>
    </w:p>
    <w:p w14:paraId="066FC291" w14:textId="77777777" w:rsidR="00F7133B" w:rsidRDefault="00F7133B" w:rsidP="00F7133B">
      <w:pPr>
        <w:pStyle w:val="NormalWeb"/>
        <w:numPr>
          <w:ilvl w:val="0"/>
          <w:numId w:val="11"/>
        </w:numPr>
        <w:overflowPunct/>
        <w:autoSpaceDE/>
        <w:autoSpaceDN/>
        <w:adjustRightInd/>
        <w:textAlignment w:val="auto"/>
      </w:pPr>
      <w:r>
        <w:t>účastnit se školení BOZP a PO.</w:t>
      </w:r>
    </w:p>
    <w:p w14:paraId="0887D619" w14:textId="77777777" w:rsidR="00F7133B" w:rsidRDefault="00852703" w:rsidP="00F7133B">
      <w:r>
        <w:rPr>
          <w:noProof/>
        </w:rPr>
        <w:pict w14:anchorId="09F5C621">
          <v:rect id="_x0000_i1032" alt="" style="width:413.4pt;height:.05pt;mso-width-percent:0;mso-height-percent:0;mso-width-percent:0;mso-height-percent:0" o:hrpct="916" o:hralign="center" o:hrstd="t" o:hr="t" fillcolor="#a0a0a0" stroked="f"/>
        </w:pict>
      </w:r>
    </w:p>
    <w:p w14:paraId="5E2D3101" w14:textId="77777777" w:rsidR="00F7133B" w:rsidRDefault="00F7133B" w:rsidP="00F7133B">
      <w:pPr>
        <w:pStyle w:val="Heading2"/>
      </w:pPr>
      <w:r>
        <w:t>4. Pravidla, procesy a postupy v praxi</w:t>
      </w:r>
    </w:p>
    <w:p w14:paraId="06BDEED9" w14:textId="77777777" w:rsidR="00F7133B" w:rsidRDefault="00F7133B" w:rsidP="00F7133B">
      <w:pPr>
        <w:pStyle w:val="Heading3"/>
      </w:pPr>
      <w:r>
        <w:t>4.1 Identifikace rizik na pracovišti</w:t>
      </w:r>
    </w:p>
    <w:p w14:paraId="3F80BB7F" w14:textId="77777777" w:rsidR="00F7133B" w:rsidRDefault="00F7133B" w:rsidP="00F7133B">
      <w:pPr>
        <w:pStyle w:val="NormalWeb"/>
      </w:pPr>
      <w:r>
        <w:t>V prostředí výrobní firmy se vyskytují zejména tato rizika:</w:t>
      </w:r>
    </w:p>
    <w:p w14:paraId="48A5C79C" w14:textId="77777777" w:rsidR="00F7133B" w:rsidRDefault="00F7133B" w:rsidP="00F7133B">
      <w:pPr>
        <w:pStyle w:val="NormalWeb"/>
        <w:numPr>
          <w:ilvl w:val="0"/>
          <w:numId w:val="12"/>
        </w:numPr>
        <w:overflowPunct/>
        <w:autoSpaceDE/>
        <w:autoSpaceDN/>
        <w:adjustRightInd/>
        <w:textAlignment w:val="auto"/>
      </w:pPr>
      <w:r>
        <w:lastRenderedPageBreak/>
        <w:t>mechanická rizika (stroje, nástroje, pohyblivé části),</w:t>
      </w:r>
    </w:p>
    <w:p w14:paraId="1AE788A9" w14:textId="77777777" w:rsidR="00F7133B" w:rsidRDefault="00F7133B" w:rsidP="00F7133B">
      <w:pPr>
        <w:pStyle w:val="NormalWeb"/>
        <w:numPr>
          <w:ilvl w:val="0"/>
          <w:numId w:val="12"/>
        </w:numPr>
        <w:overflowPunct/>
        <w:autoSpaceDE/>
        <w:autoSpaceDN/>
        <w:adjustRightInd/>
        <w:textAlignment w:val="auto"/>
      </w:pPr>
      <w:r>
        <w:t>rizika při manipulaci s břemeny,</w:t>
      </w:r>
    </w:p>
    <w:p w14:paraId="3F727ED5" w14:textId="77777777" w:rsidR="00F7133B" w:rsidRDefault="00F7133B" w:rsidP="00F7133B">
      <w:pPr>
        <w:pStyle w:val="NormalWeb"/>
        <w:numPr>
          <w:ilvl w:val="0"/>
          <w:numId w:val="12"/>
        </w:numPr>
        <w:overflowPunct/>
        <w:autoSpaceDE/>
        <w:autoSpaceDN/>
        <w:adjustRightInd/>
        <w:textAlignment w:val="auto"/>
      </w:pPr>
      <w:r>
        <w:t>uklouznutí, pády a zakopnutí,</w:t>
      </w:r>
    </w:p>
    <w:p w14:paraId="26787724" w14:textId="77777777" w:rsidR="00F7133B" w:rsidRDefault="00F7133B" w:rsidP="00F7133B">
      <w:pPr>
        <w:pStyle w:val="NormalWeb"/>
        <w:numPr>
          <w:ilvl w:val="0"/>
          <w:numId w:val="12"/>
        </w:numPr>
        <w:overflowPunct/>
        <w:autoSpaceDE/>
        <w:autoSpaceDN/>
        <w:adjustRightInd/>
        <w:textAlignment w:val="auto"/>
      </w:pPr>
      <w:r>
        <w:t>hluk, prach, vibrace,</w:t>
      </w:r>
    </w:p>
    <w:p w14:paraId="767F57AC" w14:textId="77777777" w:rsidR="00F7133B" w:rsidRDefault="00F7133B" w:rsidP="00F7133B">
      <w:pPr>
        <w:pStyle w:val="NormalWeb"/>
        <w:numPr>
          <w:ilvl w:val="0"/>
          <w:numId w:val="12"/>
        </w:numPr>
        <w:overflowPunct/>
        <w:autoSpaceDE/>
        <w:autoSpaceDN/>
        <w:adjustRightInd/>
        <w:textAlignment w:val="auto"/>
      </w:pPr>
      <w:r>
        <w:t>elektrická rizika,</w:t>
      </w:r>
    </w:p>
    <w:p w14:paraId="0E535926" w14:textId="77777777" w:rsidR="00F7133B" w:rsidRDefault="00F7133B" w:rsidP="00F7133B">
      <w:pPr>
        <w:pStyle w:val="NormalWeb"/>
        <w:numPr>
          <w:ilvl w:val="0"/>
          <w:numId w:val="12"/>
        </w:numPr>
        <w:overflowPunct/>
        <w:autoSpaceDE/>
        <w:autoSpaceDN/>
        <w:adjustRightInd/>
        <w:textAlignment w:val="auto"/>
      </w:pPr>
      <w:r>
        <w:t>riziko požáru.</w:t>
      </w:r>
    </w:p>
    <w:p w14:paraId="2E8FBD6E" w14:textId="77777777" w:rsidR="00F7133B" w:rsidRDefault="00F7133B" w:rsidP="00F7133B">
      <w:pPr>
        <w:pStyle w:val="NormalWeb"/>
      </w:pPr>
      <w:r>
        <w:t>Zaměstnanci jsou povinni tato rizika respektovat a chovat se tak, aby nedocházelo k jejich zvyšování.</w:t>
      </w:r>
    </w:p>
    <w:p w14:paraId="5B62E865" w14:textId="77777777" w:rsidR="00F7133B" w:rsidRDefault="00852703" w:rsidP="00F7133B">
      <w:r>
        <w:rPr>
          <w:noProof/>
        </w:rPr>
        <w:pict w14:anchorId="402BE7CC">
          <v:rect id="_x0000_i1031" alt="" style="width:413.4pt;height:.05pt;mso-width-percent:0;mso-height-percent:0;mso-width-percent:0;mso-height-percent:0" o:hrpct="916" o:hralign="center" o:hrstd="t" o:hr="t" fillcolor="#a0a0a0" stroked="f"/>
        </w:pict>
      </w:r>
    </w:p>
    <w:p w14:paraId="7C7A56CF" w14:textId="77777777" w:rsidR="00F7133B" w:rsidRDefault="00F7133B" w:rsidP="00F7133B">
      <w:pPr>
        <w:pStyle w:val="Heading3"/>
      </w:pPr>
      <w:r>
        <w:t>4.2 Preventivní opatření a bezpečné chování</w:t>
      </w:r>
    </w:p>
    <w:p w14:paraId="7C614785" w14:textId="77777777" w:rsidR="00F7133B" w:rsidRDefault="00F7133B" w:rsidP="00F7133B">
      <w:pPr>
        <w:pStyle w:val="NormalWeb"/>
      </w:pPr>
      <w:r>
        <w:t>Základní zásady bezpečného chování:</w:t>
      </w:r>
    </w:p>
    <w:p w14:paraId="3B01B0FA" w14:textId="77777777" w:rsidR="00F7133B" w:rsidRDefault="00F7133B" w:rsidP="00F7133B">
      <w:pPr>
        <w:pStyle w:val="NormalWeb"/>
        <w:numPr>
          <w:ilvl w:val="0"/>
          <w:numId w:val="13"/>
        </w:numPr>
        <w:overflowPunct/>
        <w:autoSpaceDE/>
        <w:autoSpaceDN/>
        <w:adjustRightInd/>
        <w:textAlignment w:val="auto"/>
      </w:pPr>
      <w:r>
        <w:t>dodržovat pracovní postupy,</w:t>
      </w:r>
    </w:p>
    <w:p w14:paraId="4AEF43CE" w14:textId="77777777" w:rsidR="00F7133B" w:rsidRDefault="00F7133B" w:rsidP="00F7133B">
      <w:pPr>
        <w:pStyle w:val="NormalWeb"/>
        <w:numPr>
          <w:ilvl w:val="0"/>
          <w:numId w:val="13"/>
        </w:numPr>
        <w:overflowPunct/>
        <w:autoSpaceDE/>
        <w:autoSpaceDN/>
        <w:adjustRightInd/>
        <w:textAlignment w:val="auto"/>
      </w:pPr>
      <w:r>
        <w:t>nepřekračovat své oprávnění,</w:t>
      </w:r>
    </w:p>
    <w:p w14:paraId="58091FA2" w14:textId="77777777" w:rsidR="00F7133B" w:rsidRDefault="00F7133B" w:rsidP="00F7133B">
      <w:pPr>
        <w:pStyle w:val="NormalWeb"/>
        <w:numPr>
          <w:ilvl w:val="0"/>
          <w:numId w:val="13"/>
        </w:numPr>
        <w:overflowPunct/>
        <w:autoSpaceDE/>
        <w:autoSpaceDN/>
        <w:adjustRightInd/>
        <w:textAlignment w:val="auto"/>
      </w:pPr>
      <w:r>
        <w:t>neodstraňovat bezpečnostní kryty a ochrany strojů,</w:t>
      </w:r>
    </w:p>
    <w:p w14:paraId="710F75F8" w14:textId="77777777" w:rsidR="00F7133B" w:rsidRDefault="00F7133B" w:rsidP="00F7133B">
      <w:pPr>
        <w:pStyle w:val="NormalWeb"/>
        <w:numPr>
          <w:ilvl w:val="0"/>
          <w:numId w:val="13"/>
        </w:numPr>
        <w:overflowPunct/>
        <w:autoSpaceDE/>
        <w:autoSpaceDN/>
        <w:adjustRightInd/>
        <w:textAlignment w:val="auto"/>
      </w:pPr>
      <w:r>
        <w:t>udržovat pořádek na pracovišti,</w:t>
      </w:r>
    </w:p>
    <w:p w14:paraId="792DAF6A" w14:textId="77777777" w:rsidR="00F7133B" w:rsidRDefault="00F7133B" w:rsidP="00F7133B">
      <w:pPr>
        <w:pStyle w:val="NormalWeb"/>
        <w:numPr>
          <w:ilvl w:val="0"/>
          <w:numId w:val="13"/>
        </w:numPr>
        <w:overflowPunct/>
        <w:autoSpaceDE/>
        <w:autoSpaceDN/>
        <w:adjustRightInd/>
        <w:textAlignment w:val="auto"/>
      </w:pPr>
      <w:r>
        <w:t>nepodceňovat únavu a zdravotní stav,</w:t>
      </w:r>
    </w:p>
    <w:p w14:paraId="68AF6D2B" w14:textId="77777777" w:rsidR="00F7133B" w:rsidRDefault="00F7133B" w:rsidP="00F7133B">
      <w:pPr>
        <w:pStyle w:val="NormalWeb"/>
        <w:numPr>
          <w:ilvl w:val="0"/>
          <w:numId w:val="13"/>
        </w:numPr>
        <w:overflowPunct/>
        <w:autoSpaceDE/>
        <w:autoSpaceDN/>
        <w:adjustRightInd/>
        <w:textAlignment w:val="auto"/>
      </w:pPr>
      <w:r>
        <w:t>nevstupovat do zakázaných prostor.</w:t>
      </w:r>
    </w:p>
    <w:p w14:paraId="2CFBE79C" w14:textId="77777777" w:rsidR="00F7133B" w:rsidRDefault="00852703" w:rsidP="00F7133B">
      <w:r>
        <w:rPr>
          <w:noProof/>
        </w:rPr>
        <w:pict w14:anchorId="36F86984">
          <v:rect id="_x0000_i1030" alt="" style="width:413.4pt;height:.05pt;mso-width-percent:0;mso-height-percent:0;mso-width-percent:0;mso-height-percent:0" o:hrpct="916" o:hralign="center" o:hrstd="t" o:hr="t" fillcolor="#a0a0a0" stroked="f"/>
        </w:pict>
      </w:r>
    </w:p>
    <w:p w14:paraId="56F10F1B" w14:textId="77777777" w:rsidR="00F7133B" w:rsidRDefault="00F7133B" w:rsidP="00F7133B">
      <w:pPr>
        <w:pStyle w:val="Heading3"/>
      </w:pPr>
      <w:r>
        <w:t>4.3 Bezpečné pracovní postupy</w:t>
      </w:r>
    </w:p>
    <w:p w14:paraId="78DD6AED" w14:textId="77777777" w:rsidR="00F7133B" w:rsidRDefault="00F7133B" w:rsidP="00F7133B">
      <w:pPr>
        <w:pStyle w:val="NormalWeb"/>
      </w:pPr>
      <w:r>
        <w:t>Zaměstnanci musí dodržovat zejména:</w:t>
      </w:r>
    </w:p>
    <w:p w14:paraId="615C0A6B" w14:textId="77777777" w:rsidR="00F7133B" w:rsidRDefault="00F7133B" w:rsidP="00F7133B">
      <w:pPr>
        <w:pStyle w:val="NormalWeb"/>
        <w:numPr>
          <w:ilvl w:val="0"/>
          <w:numId w:val="14"/>
        </w:numPr>
        <w:overflowPunct/>
        <w:autoSpaceDE/>
        <w:autoSpaceDN/>
        <w:adjustRightInd/>
        <w:textAlignment w:val="auto"/>
      </w:pPr>
      <w:r>
        <w:t>správnou manipulaci s nářadím a stroji,</w:t>
      </w:r>
    </w:p>
    <w:p w14:paraId="2308A289" w14:textId="77777777" w:rsidR="00F7133B" w:rsidRDefault="00F7133B" w:rsidP="00F7133B">
      <w:pPr>
        <w:pStyle w:val="NormalWeb"/>
        <w:numPr>
          <w:ilvl w:val="0"/>
          <w:numId w:val="14"/>
        </w:numPr>
        <w:overflowPunct/>
        <w:autoSpaceDE/>
        <w:autoSpaceDN/>
        <w:adjustRightInd/>
        <w:textAlignment w:val="auto"/>
      </w:pPr>
      <w:r>
        <w:t>zásady ergonomie při manipulaci s břemeny,</w:t>
      </w:r>
    </w:p>
    <w:p w14:paraId="1D501852" w14:textId="77777777" w:rsidR="00F7133B" w:rsidRDefault="00F7133B" w:rsidP="00F7133B">
      <w:pPr>
        <w:pStyle w:val="NormalWeb"/>
        <w:numPr>
          <w:ilvl w:val="0"/>
          <w:numId w:val="14"/>
        </w:numPr>
        <w:overflowPunct/>
        <w:autoSpaceDE/>
        <w:autoSpaceDN/>
        <w:adjustRightInd/>
        <w:textAlignment w:val="auto"/>
      </w:pPr>
      <w:r>
        <w:t>bezpečné odstupy od pohybujících se částí strojů,</w:t>
      </w:r>
    </w:p>
    <w:p w14:paraId="24C1BE42" w14:textId="77777777" w:rsidR="00F7133B" w:rsidRDefault="00F7133B" w:rsidP="00F7133B">
      <w:pPr>
        <w:pStyle w:val="NormalWeb"/>
        <w:numPr>
          <w:ilvl w:val="0"/>
          <w:numId w:val="14"/>
        </w:numPr>
        <w:overflowPunct/>
        <w:autoSpaceDE/>
        <w:autoSpaceDN/>
        <w:adjustRightInd/>
        <w:textAlignment w:val="auto"/>
      </w:pPr>
      <w:r>
        <w:t>zákaz improvizovaných oprav,</w:t>
      </w:r>
    </w:p>
    <w:p w14:paraId="37ACB3DB" w14:textId="77777777" w:rsidR="00F7133B" w:rsidRDefault="00F7133B" w:rsidP="00F7133B">
      <w:pPr>
        <w:pStyle w:val="NormalWeb"/>
        <w:numPr>
          <w:ilvl w:val="0"/>
          <w:numId w:val="14"/>
        </w:numPr>
        <w:overflowPunct/>
        <w:autoSpaceDE/>
        <w:autoSpaceDN/>
        <w:adjustRightInd/>
        <w:textAlignment w:val="auto"/>
      </w:pPr>
      <w:r>
        <w:t>vypnutí zařízení při poruše nebo údržbě.</w:t>
      </w:r>
    </w:p>
    <w:p w14:paraId="777CB624" w14:textId="77777777" w:rsidR="00F7133B" w:rsidRDefault="00852703" w:rsidP="00F7133B">
      <w:r>
        <w:rPr>
          <w:noProof/>
        </w:rPr>
        <w:pict w14:anchorId="2BB6518C">
          <v:rect id="_x0000_i1029" alt="" style="width:413.4pt;height:.05pt;mso-width-percent:0;mso-height-percent:0;mso-width-percent:0;mso-height-percent:0" o:hrpct="916" o:hralign="center" o:hrstd="t" o:hr="t" fillcolor="#a0a0a0" stroked="f"/>
        </w:pict>
      </w:r>
    </w:p>
    <w:p w14:paraId="06647E44" w14:textId="77777777" w:rsidR="00F7133B" w:rsidRDefault="00F7133B" w:rsidP="00F7133B">
      <w:pPr>
        <w:pStyle w:val="Heading3"/>
      </w:pPr>
      <w:r>
        <w:t>4.4 OOPP a ochranné prostředky</w:t>
      </w:r>
    </w:p>
    <w:p w14:paraId="584C9B7E" w14:textId="77777777" w:rsidR="00F7133B" w:rsidRDefault="00F7133B" w:rsidP="00F7133B">
      <w:pPr>
        <w:pStyle w:val="NormalWeb"/>
      </w:pPr>
      <w:r>
        <w:t>Osobní ochranné pracovní prostředky (např. pracovní obuv, rukavice, ochranné brýle, sluchátka) jsou:</w:t>
      </w:r>
    </w:p>
    <w:p w14:paraId="0DF611BC" w14:textId="77777777" w:rsidR="00F7133B" w:rsidRDefault="00F7133B" w:rsidP="00F7133B">
      <w:pPr>
        <w:pStyle w:val="NormalWeb"/>
        <w:numPr>
          <w:ilvl w:val="0"/>
          <w:numId w:val="15"/>
        </w:numPr>
        <w:overflowPunct/>
        <w:autoSpaceDE/>
        <w:autoSpaceDN/>
        <w:adjustRightInd/>
        <w:textAlignment w:val="auto"/>
      </w:pPr>
      <w:r>
        <w:t>poskytovány zaměstnavatelem zdarma,</w:t>
      </w:r>
    </w:p>
    <w:p w14:paraId="34130E6C" w14:textId="77777777" w:rsidR="00F7133B" w:rsidRDefault="00F7133B" w:rsidP="00F7133B">
      <w:pPr>
        <w:pStyle w:val="NormalWeb"/>
        <w:numPr>
          <w:ilvl w:val="0"/>
          <w:numId w:val="15"/>
        </w:numPr>
        <w:overflowPunct/>
        <w:autoSpaceDE/>
        <w:autoSpaceDN/>
        <w:adjustRightInd/>
        <w:textAlignment w:val="auto"/>
      </w:pPr>
      <w:r>
        <w:t>povinné v určených provozech a při stanovených činnostech.</w:t>
      </w:r>
    </w:p>
    <w:p w14:paraId="5A1D16C1" w14:textId="77777777" w:rsidR="00F7133B" w:rsidRDefault="00F7133B" w:rsidP="00F7133B">
      <w:pPr>
        <w:pStyle w:val="NormalWeb"/>
      </w:pPr>
      <w:r>
        <w:t>Zaměstnanec:</w:t>
      </w:r>
    </w:p>
    <w:p w14:paraId="28FEDBEE" w14:textId="77777777" w:rsidR="00F7133B" w:rsidRDefault="00F7133B" w:rsidP="00F7133B">
      <w:pPr>
        <w:pStyle w:val="NormalWeb"/>
        <w:numPr>
          <w:ilvl w:val="0"/>
          <w:numId w:val="16"/>
        </w:numPr>
        <w:overflowPunct/>
        <w:autoSpaceDE/>
        <w:autoSpaceDN/>
        <w:adjustRightInd/>
        <w:textAlignment w:val="auto"/>
      </w:pPr>
      <w:r>
        <w:lastRenderedPageBreak/>
        <w:t>musí OOPP používat,</w:t>
      </w:r>
    </w:p>
    <w:p w14:paraId="54480FED" w14:textId="77777777" w:rsidR="00F7133B" w:rsidRDefault="00F7133B" w:rsidP="00F7133B">
      <w:pPr>
        <w:pStyle w:val="NormalWeb"/>
        <w:numPr>
          <w:ilvl w:val="0"/>
          <w:numId w:val="16"/>
        </w:numPr>
        <w:overflowPunct/>
        <w:autoSpaceDE/>
        <w:autoSpaceDN/>
        <w:adjustRightInd/>
        <w:textAlignment w:val="auto"/>
      </w:pPr>
      <w:r>
        <w:t>nesmí je svévolně upravovat,</w:t>
      </w:r>
    </w:p>
    <w:p w14:paraId="6B97E876" w14:textId="77777777" w:rsidR="00F7133B" w:rsidRDefault="00F7133B" w:rsidP="00F7133B">
      <w:pPr>
        <w:pStyle w:val="NormalWeb"/>
        <w:numPr>
          <w:ilvl w:val="0"/>
          <w:numId w:val="16"/>
        </w:numPr>
        <w:overflowPunct/>
        <w:autoSpaceDE/>
        <w:autoSpaceDN/>
        <w:adjustRightInd/>
        <w:textAlignment w:val="auto"/>
      </w:pPr>
      <w:r>
        <w:t>je povinen hlásit jejich poškození nebo nefunkčnost.</w:t>
      </w:r>
    </w:p>
    <w:p w14:paraId="3DBDF040" w14:textId="77777777" w:rsidR="00F7133B" w:rsidRDefault="00852703" w:rsidP="00F7133B">
      <w:r>
        <w:rPr>
          <w:noProof/>
        </w:rPr>
        <w:pict w14:anchorId="02790646">
          <v:rect id="_x0000_i1028" alt="" style="width:413.4pt;height:.05pt;mso-width-percent:0;mso-height-percent:0;mso-width-percent:0;mso-height-percent:0" o:hrpct="916" o:hralign="center" o:hrstd="t" o:hr="t" fillcolor="#a0a0a0" stroked="f"/>
        </w:pict>
      </w:r>
    </w:p>
    <w:p w14:paraId="3AB6AAFB" w14:textId="77777777" w:rsidR="00F7133B" w:rsidRDefault="00F7133B" w:rsidP="00F7133B">
      <w:pPr>
        <w:pStyle w:val="Heading3"/>
      </w:pPr>
      <w:r>
        <w:t>4.5 Požární prevence</w:t>
      </w:r>
    </w:p>
    <w:p w14:paraId="0CCA2FF6" w14:textId="77777777" w:rsidR="00F7133B" w:rsidRDefault="00F7133B" w:rsidP="00F7133B">
      <w:pPr>
        <w:pStyle w:val="NormalWeb"/>
      </w:pPr>
      <w:r>
        <w:t>Základní pravidla požární ochrany:</w:t>
      </w:r>
    </w:p>
    <w:p w14:paraId="439E9C80" w14:textId="77777777" w:rsidR="00F7133B" w:rsidRDefault="00F7133B" w:rsidP="00F7133B">
      <w:pPr>
        <w:pStyle w:val="NormalWeb"/>
        <w:numPr>
          <w:ilvl w:val="0"/>
          <w:numId w:val="17"/>
        </w:numPr>
        <w:overflowPunct/>
        <w:autoSpaceDE/>
        <w:autoSpaceDN/>
        <w:adjustRightInd/>
        <w:textAlignment w:val="auto"/>
      </w:pPr>
      <w:r>
        <w:t>zákaz kouření mimo vyhrazená místa,</w:t>
      </w:r>
    </w:p>
    <w:p w14:paraId="36E6B3D1" w14:textId="77777777" w:rsidR="00F7133B" w:rsidRDefault="00F7133B" w:rsidP="00F7133B">
      <w:pPr>
        <w:pStyle w:val="NormalWeb"/>
        <w:numPr>
          <w:ilvl w:val="0"/>
          <w:numId w:val="17"/>
        </w:numPr>
        <w:overflowPunct/>
        <w:autoSpaceDE/>
        <w:autoSpaceDN/>
        <w:adjustRightInd/>
        <w:textAlignment w:val="auto"/>
      </w:pPr>
      <w:r>
        <w:t>zákaz používání nezkontrolovaných elektrických spotřebičů,</w:t>
      </w:r>
    </w:p>
    <w:p w14:paraId="4B8D202F" w14:textId="77777777" w:rsidR="00F7133B" w:rsidRDefault="00F7133B" w:rsidP="00F7133B">
      <w:pPr>
        <w:pStyle w:val="NormalWeb"/>
        <w:numPr>
          <w:ilvl w:val="0"/>
          <w:numId w:val="17"/>
        </w:numPr>
        <w:overflowPunct/>
        <w:autoSpaceDE/>
        <w:autoSpaceDN/>
        <w:adjustRightInd/>
        <w:textAlignment w:val="auto"/>
      </w:pPr>
      <w:r>
        <w:t>udržování volných únikových cest,</w:t>
      </w:r>
    </w:p>
    <w:p w14:paraId="00187AF4" w14:textId="77777777" w:rsidR="00F7133B" w:rsidRDefault="00F7133B" w:rsidP="00F7133B">
      <w:pPr>
        <w:pStyle w:val="NormalWeb"/>
        <w:numPr>
          <w:ilvl w:val="0"/>
          <w:numId w:val="17"/>
        </w:numPr>
        <w:overflowPunct/>
        <w:autoSpaceDE/>
        <w:autoSpaceDN/>
        <w:adjustRightInd/>
        <w:textAlignment w:val="auto"/>
      </w:pPr>
      <w:r>
        <w:t>správné skladování hořlavých materiálů,</w:t>
      </w:r>
    </w:p>
    <w:p w14:paraId="463187E1" w14:textId="77777777" w:rsidR="00F7133B" w:rsidRDefault="00F7133B" w:rsidP="00F7133B">
      <w:pPr>
        <w:pStyle w:val="NormalWeb"/>
        <w:numPr>
          <w:ilvl w:val="0"/>
          <w:numId w:val="17"/>
        </w:numPr>
        <w:overflowPunct/>
        <w:autoSpaceDE/>
        <w:autoSpaceDN/>
        <w:adjustRightInd/>
        <w:textAlignment w:val="auto"/>
      </w:pPr>
      <w:r>
        <w:t>zákaz manipulace s otevřeným ohněm bez povolení.</w:t>
      </w:r>
    </w:p>
    <w:p w14:paraId="7536A724" w14:textId="77777777" w:rsidR="00F7133B" w:rsidRDefault="00F7133B" w:rsidP="00F7133B">
      <w:pPr>
        <w:pStyle w:val="NormalWeb"/>
      </w:pPr>
      <w:r>
        <w:t>Každý zaměstnanec musí znát:</w:t>
      </w:r>
    </w:p>
    <w:p w14:paraId="4CB706D7" w14:textId="77777777" w:rsidR="00F7133B" w:rsidRDefault="00F7133B" w:rsidP="00F7133B">
      <w:pPr>
        <w:pStyle w:val="NormalWeb"/>
        <w:numPr>
          <w:ilvl w:val="0"/>
          <w:numId w:val="18"/>
        </w:numPr>
        <w:overflowPunct/>
        <w:autoSpaceDE/>
        <w:autoSpaceDN/>
        <w:adjustRightInd/>
        <w:textAlignment w:val="auto"/>
      </w:pPr>
      <w:r>
        <w:t>umístění hasicích přístrojů,</w:t>
      </w:r>
    </w:p>
    <w:p w14:paraId="248E3C33" w14:textId="77777777" w:rsidR="00F7133B" w:rsidRDefault="00F7133B" w:rsidP="00F7133B">
      <w:pPr>
        <w:pStyle w:val="NormalWeb"/>
        <w:numPr>
          <w:ilvl w:val="0"/>
          <w:numId w:val="18"/>
        </w:numPr>
        <w:overflowPunct/>
        <w:autoSpaceDE/>
        <w:autoSpaceDN/>
        <w:adjustRightInd/>
        <w:textAlignment w:val="auto"/>
      </w:pPr>
      <w:r>
        <w:t>únikové cesty,</w:t>
      </w:r>
    </w:p>
    <w:p w14:paraId="7FA83F0C" w14:textId="77777777" w:rsidR="00F7133B" w:rsidRDefault="00F7133B" w:rsidP="00F7133B">
      <w:pPr>
        <w:pStyle w:val="NormalWeb"/>
        <w:numPr>
          <w:ilvl w:val="0"/>
          <w:numId w:val="18"/>
        </w:numPr>
        <w:overflowPunct/>
        <w:autoSpaceDE/>
        <w:autoSpaceDN/>
        <w:adjustRightInd/>
        <w:textAlignment w:val="auto"/>
      </w:pPr>
      <w:r>
        <w:t>zásady chování při požáru.</w:t>
      </w:r>
    </w:p>
    <w:p w14:paraId="7487BD58" w14:textId="77777777" w:rsidR="00F7133B" w:rsidRDefault="00852703" w:rsidP="00F7133B">
      <w:r>
        <w:rPr>
          <w:noProof/>
        </w:rPr>
        <w:pict w14:anchorId="410FB00A">
          <v:rect id="_x0000_i1027" alt="" style="width:413.4pt;height:.05pt;mso-width-percent:0;mso-height-percent:0;mso-width-percent:0;mso-height-percent:0" o:hrpct="916" o:hralign="center" o:hrstd="t" o:hr="t" fillcolor="#a0a0a0" stroked="f"/>
        </w:pict>
      </w:r>
    </w:p>
    <w:p w14:paraId="1677E144" w14:textId="77777777" w:rsidR="00F7133B" w:rsidRDefault="00F7133B" w:rsidP="00F7133B">
      <w:pPr>
        <w:pStyle w:val="Heading3"/>
      </w:pPr>
      <w:r>
        <w:t>4.6 Postup při mimořádných událostech</w:t>
      </w:r>
    </w:p>
    <w:p w14:paraId="1009B0C4" w14:textId="77777777" w:rsidR="00F7133B" w:rsidRDefault="00F7133B" w:rsidP="00F7133B">
      <w:pPr>
        <w:pStyle w:val="Heading4"/>
      </w:pPr>
      <w:r>
        <w:t>Pracovní úraz</w:t>
      </w:r>
    </w:p>
    <w:p w14:paraId="5ECF187B" w14:textId="77777777" w:rsidR="00F7133B" w:rsidRDefault="00F7133B" w:rsidP="00F7133B">
      <w:pPr>
        <w:pStyle w:val="NormalWeb"/>
        <w:numPr>
          <w:ilvl w:val="0"/>
          <w:numId w:val="19"/>
        </w:numPr>
        <w:overflowPunct/>
        <w:autoSpaceDE/>
        <w:autoSpaceDN/>
        <w:adjustRightInd/>
        <w:textAlignment w:val="auto"/>
      </w:pPr>
      <w:r>
        <w:t>zajistit první pomoc,</w:t>
      </w:r>
    </w:p>
    <w:p w14:paraId="49EB1940" w14:textId="77777777" w:rsidR="00F7133B" w:rsidRDefault="00F7133B" w:rsidP="00F7133B">
      <w:pPr>
        <w:pStyle w:val="NormalWeb"/>
        <w:numPr>
          <w:ilvl w:val="0"/>
          <w:numId w:val="19"/>
        </w:numPr>
        <w:overflowPunct/>
        <w:autoSpaceDE/>
        <w:autoSpaceDN/>
        <w:adjustRightInd/>
        <w:textAlignment w:val="auto"/>
      </w:pPr>
      <w:r>
        <w:t>přivolat pomoc (zdravotník, ZZS),</w:t>
      </w:r>
    </w:p>
    <w:p w14:paraId="5B347BAC" w14:textId="77777777" w:rsidR="00F7133B" w:rsidRDefault="00F7133B" w:rsidP="00F7133B">
      <w:pPr>
        <w:pStyle w:val="NormalWeb"/>
        <w:numPr>
          <w:ilvl w:val="0"/>
          <w:numId w:val="19"/>
        </w:numPr>
        <w:overflowPunct/>
        <w:autoSpaceDE/>
        <w:autoSpaceDN/>
        <w:adjustRightInd/>
        <w:textAlignment w:val="auto"/>
      </w:pPr>
      <w:r>
        <w:t>neprodleně informovat nadřízeného,</w:t>
      </w:r>
    </w:p>
    <w:p w14:paraId="07796402" w14:textId="77777777" w:rsidR="00F7133B" w:rsidRDefault="00F7133B" w:rsidP="00F7133B">
      <w:pPr>
        <w:pStyle w:val="NormalWeb"/>
        <w:numPr>
          <w:ilvl w:val="0"/>
          <w:numId w:val="19"/>
        </w:numPr>
        <w:overflowPunct/>
        <w:autoSpaceDE/>
        <w:autoSpaceDN/>
        <w:adjustRightInd/>
        <w:textAlignment w:val="auto"/>
      </w:pPr>
      <w:r>
        <w:t>úraz musí být zaevidován.</w:t>
      </w:r>
    </w:p>
    <w:p w14:paraId="56FE5121" w14:textId="77777777" w:rsidR="00F7133B" w:rsidRDefault="00F7133B" w:rsidP="00F7133B">
      <w:pPr>
        <w:pStyle w:val="Heading4"/>
      </w:pPr>
      <w:r>
        <w:t>Požár</w:t>
      </w:r>
    </w:p>
    <w:p w14:paraId="757B45DD" w14:textId="77777777" w:rsidR="00F7133B" w:rsidRDefault="00F7133B" w:rsidP="00F7133B">
      <w:pPr>
        <w:pStyle w:val="NormalWeb"/>
        <w:numPr>
          <w:ilvl w:val="0"/>
          <w:numId w:val="20"/>
        </w:numPr>
        <w:overflowPunct/>
        <w:autoSpaceDE/>
        <w:autoSpaceDN/>
        <w:adjustRightInd/>
        <w:textAlignment w:val="auto"/>
      </w:pPr>
      <w:r>
        <w:t>vyhlásit poplach,</w:t>
      </w:r>
    </w:p>
    <w:p w14:paraId="15341830" w14:textId="77777777" w:rsidR="00F7133B" w:rsidRDefault="00F7133B" w:rsidP="00F7133B">
      <w:pPr>
        <w:pStyle w:val="NormalWeb"/>
        <w:numPr>
          <w:ilvl w:val="0"/>
          <w:numId w:val="20"/>
        </w:numPr>
        <w:overflowPunct/>
        <w:autoSpaceDE/>
        <w:autoSpaceDN/>
        <w:adjustRightInd/>
        <w:textAlignment w:val="auto"/>
      </w:pPr>
      <w:r>
        <w:t>volat tísňovou linku 150,</w:t>
      </w:r>
    </w:p>
    <w:p w14:paraId="0A90A84E" w14:textId="77777777" w:rsidR="00F7133B" w:rsidRDefault="00F7133B" w:rsidP="00F7133B">
      <w:pPr>
        <w:pStyle w:val="NormalWeb"/>
        <w:numPr>
          <w:ilvl w:val="0"/>
          <w:numId w:val="20"/>
        </w:numPr>
        <w:overflowPunct/>
        <w:autoSpaceDE/>
        <w:autoSpaceDN/>
        <w:adjustRightInd/>
        <w:textAlignment w:val="auto"/>
      </w:pPr>
      <w:r>
        <w:t>pokud je to bezpečné, použít hasicí přístroj,</w:t>
      </w:r>
    </w:p>
    <w:p w14:paraId="6A957B05" w14:textId="77777777" w:rsidR="00F7133B" w:rsidRDefault="00F7133B" w:rsidP="00F7133B">
      <w:pPr>
        <w:pStyle w:val="NormalWeb"/>
        <w:numPr>
          <w:ilvl w:val="0"/>
          <w:numId w:val="20"/>
        </w:numPr>
        <w:overflowPunct/>
        <w:autoSpaceDE/>
        <w:autoSpaceDN/>
        <w:adjustRightInd/>
        <w:textAlignment w:val="auto"/>
      </w:pPr>
      <w:r>
        <w:t>řídit se evakuačním plánem.</w:t>
      </w:r>
    </w:p>
    <w:p w14:paraId="039D61FC" w14:textId="77777777" w:rsidR="00F7133B" w:rsidRDefault="00F7133B" w:rsidP="00F7133B">
      <w:pPr>
        <w:pStyle w:val="Heading4"/>
      </w:pPr>
      <w:r>
        <w:t>Evakuace</w:t>
      </w:r>
    </w:p>
    <w:p w14:paraId="47C4BAFE" w14:textId="77777777" w:rsidR="00F7133B" w:rsidRDefault="00F7133B" w:rsidP="00F7133B">
      <w:pPr>
        <w:pStyle w:val="NormalWeb"/>
        <w:numPr>
          <w:ilvl w:val="0"/>
          <w:numId w:val="21"/>
        </w:numPr>
        <w:overflowPunct/>
        <w:autoSpaceDE/>
        <w:autoSpaceDN/>
        <w:adjustRightInd/>
        <w:textAlignment w:val="auto"/>
      </w:pPr>
      <w:r>
        <w:t>opustit objekt po vyznačených trasách,</w:t>
      </w:r>
    </w:p>
    <w:p w14:paraId="61466FD3" w14:textId="77777777" w:rsidR="00F7133B" w:rsidRDefault="00F7133B" w:rsidP="00F7133B">
      <w:pPr>
        <w:pStyle w:val="NormalWeb"/>
        <w:numPr>
          <w:ilvl w:val="0"/>
          <w:numId w:val="21"/>
        </w:numPr>
        <w:overflowPunct/>
        <w:autoSpaceDE/>
        <w:autoSpaceDN/>
        <w:adjustRightInd/>
        <w:textAlignment w:val="auto"/>
      </w:pPr>
      <w:r>
        <w:t>řídit se pokyny vedoucích pracovníků,</w:t>
      </w:r>
    </w:p>
    <w:p w14:paraId="663CCB6A" w14:textId="77777777" w:rsidR="00F7133B" w:rsidRDefault="00F7133B" w:rsidP="00F7133B">
      <w:pPr>
        <w:pStyle w:val="NormalWeb"/>
        <w:numPr>
          <w:ilvl w:val="0"/>
          <w:numId w:val="21"/>
        </w:numPr>
        <w:overflowPunct/>
        <w:autoSpaceDE/>
        <w:autoSpaceDN/>
        <w:adjustRightInd/>
        <w:textAlignment w:val="auto"/>
      </w:pPr>
      <w:r>
        <w:t>shromáždit se na určeném místě.</w:t>
      </w:r>
    </w:p>
    <w:p w14:paraId="45549293" w14:textId="77777777" w:rsidR="00F7133B" w:rsidRDefault="00852703" w:rsidP="00F7133B">
      <w:r>
        <w:rPr>
          <w:noProof/>
        </w:rPr>
        <w:pict w14:anchorId="3FBE23FE">
          <v:rect id="_x0000_i1026" alt="" style="width:413.4pt;height:.05pt;mso-width-percent:0;mso-height-percent:0;mso-width-percent:0;mso-height-percent:0" o:hrpct="916" o:hralign="center" o:hrstd="t" o:hr="t" fillcolor="#a0a0a0" stroked="f"/>
        </w:pict>
      </w:r>
    </w:p>
    <w:p w14:paraId="5887EEE9" w14:textId="77777777" w:rsidR="00F7133B" w:rsidRDefault="00F7133B" w:rsidP="00F7133B">
      <w:pPr>
        <w:pStyle w:val="Heading2"/>
      </w:pPr>
      <w:r>
        <w:lastRenderedPageBreak/>
        <w:t>5. Co se stane při porušení a jak řešit problémy</w:t>
      </w:r>
    </w:p>
    <w:p w14:paraId="71E554DB" w14:textId="77777777" w:rsidR="00F7133B" w:rsidRDefault="00F7133B" w:rsidP="00F7133B">
      <w:pPr>
        <w:pStyle w:val="NormalWeb"/>
      </w:pPr>
      <w:r>
        <w:t>Nedodržení této směrnice je považováno za porušení pracovních povinností.</w:t>
      </w:r>
    </w:p>
    <w:p w14:paraId="05F54B33" w14:textId="77777777" w:rsidR="00F7133B" w:rsidRDefault="00F7133B" w:rsidP="00F7133B">
      <w:pPr>
        <w:pStyle w:val="NormalWeb"/>
      </w:pPr>
      <w:r>
        <w:t>Dle závažnosti může vést k:</w:t>
      </w:r>
    </w:p>
    <w:p w14:paraId="2E529DBF" w14:textId="77777777" w:rsidR="00F7133B" w:rsidRDefault="00F7133B" w:rsidP="00F7133B">
      <w:pPr>
        <w:pStyle w:val="NormalWeb"/>
        <w:numPr>
          <w:ilvl w:val="0"/>
          <w:numId w:val="22"/>
        </w:numPr>
        <w:overflowPunct/>
        <w:autoSpaceDE/>
        <w:autoSpaceDN/>
        <w:adjustRightInd/>
        <w:textAlignment w:val="auto"/>
      </w:pPr>
      <w:r>
        <w:t>upozornění,</w:t>
      </w:r>
    </w:p>
    <w:p w14:paraId="327A8766" w14:textId="77777777" w:rsidR="00F7133B" w:rsidRDefault="00F7133B" w:rsidP="00F7133B">
      <w:pPr>
        <w:pStyle w:val="NormalWeb"/>
        <w:numPr>
          <w:ilvl w:val="0"/>
          <w:numId w:val="22"/>
        </w:numPr>
        <w:overflowPunct/>
        <w:autoSpaceDE/>
        <w:autoSpaceDN/>
        <w:adjustRightInd/>
        <w:textAlignment w:val="auto"/>
      </w:pPr>
      <w:r>
        <w:t>kázeňskému postihu,</w:t>
      </w:r>
    </w:p>
    <w:p w14:paraId="21A913D2" w14:textId="77777777" w:rsidR="00F7133B" w:rsidRDefault="00F7133B" w:rsidP="00F7133B">
      <w:pPr>
        <w:pStyle w:val="NormalWeb"/>
        <w:numPr>
          <w:ilvl w:val="0"/>
          <w:numId w:val="22"/>
        </w:numPr>
        <w:overflowPunct/>
        <w:autoSpaceDE/>
        <w:autoSpaceDN/>
        <w:adjustRightInd/>
        <w:textAlignment w:val="auto"/>
      </w:pPr>
      <w:r>
        <w:t>náhradě škody,</w:t>
      </w:r>
    </w:p>
    <w:p w14:paraId="6E6A28DE" w14:textId="77777777" w:rsidR="00F7133B" w:rsidRDefault="00F7133B" w:rsidP="00F7133B">
      <w:pPr>
        <w:pStyle w:val="NormalWeb"/>
        <w:numPr>
          <w:ilvl w:val="0"/>
          <w:numId w:val="22"/>
        </w:numPr>
        <w:overflowPunct/>
        <w:autoSpaceDE/>
        <w:autoSpaceDN/>
        <w:adjustRightInd/>
        <w:textAlignment w:val="auto"/>
      </w:pPr>
      <w:r>
        <w:t>rozvázání pracovního poměru.</w:t>
      </w:r>
    </w:p>
    <w:p w14:paraId="79AEB4B8" w14:textId="77777777" w:rsidR="00F7133B" w:rsidRDefault="00F7133B" w:rsidP="00F7133B">
      <w:pPr>
        <w:pStyle w:val="NormalWeb"/>
      </w:pPr>
      <w:r>
        <w:t>Zaměstnanci jsou povzbuzováni k hlášení nebezpečných situací – hlášení nebude sankcionováno, pokud je vedeno v dobré víře.</w:t>
      </w:r>
    </w:p>
    <w:p w14:paraId="3E580296" w14:textId="77777777" w:rsidR="00F7133B" w:rsidRDefault="00852703" w:rsidP="00F7133B">
      <w:r>
        <w:rPr>
          <w:noProof/>
        </w:rPr>
        <w:pict w14:anchorId="7CB35EEC">
          <v:rect id="_x0000_i1025" alt="" style="width:413.4pt;height:.05pt;mso-width-percent:0;mso-height-percent:0;mso-width-percent:0;mso-height-percent:0" o:hrpct="916" o:hralign="center" o:hrstd="t" o:hr="t" fillcolor="#a0a0a0" stroked="f"/>
        </w:pict>
      </w:r>
    </w:p>
    <w:p w14:paraId="51680530" w14:textId="77777777" w:rsidR="00F7133B" w:rsidRDefault="00F7133B" w:rsidP="00F7133B">
      <w:pPr>
        <w:pStyle w:val="Heading2"/>
      </w:pPr>
      <w:r>
        <w:t>6. Platnost, evidence a aktualizace</w:t>
      </w:r>
    </w:p>
    <w:p w14:paraId="1E9BF455" w14:textId="77777777" w:rsidR="00F7133B" w:rsidRDefault="00F7133B" w:rsidP="00F7133B">
      <w:pPr>
        <w:pStyle w:val="NormalWeb"/>
      </w:pPr>
      <w:r>
        <w:t>Tato směrnice:</w:t>
      </w:r>
    </w:p>
    <w:p w14:paraId="5FF917F3" w14:textId="77777777" w:rsidR="00F7133B" w:rsidRDefault="00F7133B" w:rsidP="00F7133B">
      <w:pPr>
        <w:pStyle w:val="NormalWeb"/>
        <w:numPr>
          <w:ilvl w:val="0"/>
          <w:numId w:val="23"/>
        </w:numPr>
        <w:overflowPunct/>
        <w:autoSpaceDE/>
        <w:autoSpaceDN/>
        <w:adjustRightInd/>
        <w:textAlignment w:val="auto"/>
      </w:pPr>
      <w:r>
        <w:t xml:space="preserve">nabývá platnosti a účinnosti dnem </w:t>
      </w:r>
      <w:r>
        <w:rPr>
          <w:rStyle w:val="Strong"/>
        </w:rPr>
        <w:t>[datum]</w:t>
      </w:r>
      <w:r>
        <w:t>,</w:t>
      </w:r>
    </w:p>
    <w:p w14:paraId="7218B285" w14:textId="77777777" w:rsidR="00F7133B" w:rsidRDefault="00F7133B" w:rsidP="00F7133B">
      <w:pPr>
        <w:pStyle w:val="NormalWeb"/>
        <w:numPr>
          <w:ilvl w:val="0"/>
          <w:numId w:val="23"/>
        </w:numPr>
        <w:overflowPunct/>
        <w:autoSpaceDE/>
        <w:autoSpaceDN/>
        <w:adjustRightInd/>
        <w:textAlignment w:val="auto"/>
      </w:pPr>
      <w:r>
        <w:t>je závazná pro všechny zaměstnance,</w:t>
      </w:r>
    </w:p>
    <w:p w14:paraId="38859213" w14:textId="77777777" w:rsidR="00F7133B" w:rsidRDefault="00F7133B" w:rsidP="00F7133B">
      <w:pPr>
        <w:pStyle w:val="NormalWeb"/>
        <w:numPr>
          <w:ilvl w:val="0"/>
          <w:numId w:val="23"/>
        </w:numPr>
        <w:overflowPunct/>
        <w:autoSpaceDE/>
        <w:autoSpaceDN/>
        <w:adjustRightInd/>
        <w:textAlignment w:val="auto"/>
      </w:pPr>
      <w:r>
        <w:t xml:space="preserve">je dostupná na </w:t>
      </w:r>
      <w:r>
        <w:rPr>
          <w:rStyle w:val="Strong"/>
        </w:rPr>
        <w:t>[intranet / nástěnka / jiný způsob]</w:t>
      </w:r>
      <w:r>
        <w:t>.</w:t>
      </w:r>
    </w:p>
    <w:p w14:paraId="7741C32F" w14:textId="77777777" w:rsidR="00F7133B" w:rsidRDefault="00F7133B" w:rsidP="00F7133B">
      <w:pPr>
        <w:pStyle w:val="NormalWeb"/>
      </w:pPr>
      <w:r>
        <w:t>Směrnice je:</w:t>
      </w:r>
    </w:p>
    <w:p w14:paraId="30E9CB93" w14:textId="77777777" w:rsidR="00F7133B" w:rsidRDefault="00F7133B" w:rsidP="00F7133B">
      <w:pPr>
        <w:pStyle w:val="NormalWeb"/>
        <w:numPr>
          <w:ilvl w:val="0"/>
          <w:numId w:val="24"/>
        </w:numPr>
        <w:overflowPunct/>
        <w:autoSpaceDE/>
        <w:autoSpaceDN/>
        <w:adjustRightInd/>
        <w:textAlignment w:val="auto"/>
      </w:pPr>
      <w:r>
        <w:t>pravidelně revidována,</w:t>
      </w:r>
    </w:p>
    <w:p w14:paraId="143396A7" w14:textId="77777777" w:rsidR="00F7133B" w:rsidRDefault="00F7133B" w:rsidP="00F7133B">
      <w:pPr>
        <w:pStyle w:val="NormalWeb"/>
        <w:numPr>
          <w:ilvl w:val="0"/>
          <w:numId w:val="24"/>
        </w:numPr>
        <w:overflowPunct/>
        <w:autoSpaceDE/>
        <w:autoSpaceDN/>
        <w:adjustRightInd/>
        <w:textAlignment w:val="auto"/>
      </w:pPr>
      <w:r>
        <w:t>aktualizována při změně legislativy nebo provozu,</w:t>
      </w:r>
    </w:p>
    <w:p w14:paraId="1A274CC0" w14:textId="77777777" w:rsidR="00F7133B" w:rsidRDefault="00F7133B" w:rsidP="00F7133B">
      <w:pPr>
        <w:pStyle w:val="NormalWeb"/>
        <w:numPr>
          <w:ilvl w:val="0"/>
          <w:numId w:val="24"/>
        </w:numPr>
        <w:overflowPunct/>
        <w:autoSpaceDE/>
        <w:autoSpaceDN/>
        <w:adjustRightInd/>
        <w:textAlignment w:val="auto"/>
      </w:pPr>
      <w:r>
        <w:t>zaměstnanci jsou s jejími změnami prokazatelně seznamováni.</w:t>
      </w:r>
    </w:p>
    <w:p w14:paraId="0AD58A52" w14:textId="77777777" w:rsidR="000127F1" w:rsidRDefault="000127F1" w:rsidP="005F46F2"/>
    <w:sectPr w:rsidR="000127F1" w:rsidSect="006D28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C5E9E" w14:textId="77777777" w:rsidR="00852703" w:rsidRDefault="00852703" w:rsidP="005F46F2">
      <w:r>
        <w:separator/>
      </w:r>
    </w:p>
  </w:endnote>
  <w:endnote w:type="continuationSeparator" w:id="0">
    <w:p w14:paraId="0F54A163" w14:textId="77777777" w:rsidR="00852703" w:rsidRDefault="00852703" w:rsidP="005F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panose1 w:val="020B0604020202020204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F4D0" w14:textId="77777777" w:rsidR="00F7133B" w:rsidRDefault="00F71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E9A5" w14:textId="77777777" w:rsidR="00F7133B" w:rsidRDefault="00F713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EB44" w14:textId="77777777" w:rsidR="00F7133B" w:rsidRDefault="00F71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4DFFA" w14:textId="77777777" w:rsidR="00852703" w:rsidRDefault="00852703" w:rsidP="005F46F2">
      <w:r>
        <w:separator/>
      </w:r>
    </w:p>
  </w:footnote>
  <w:footnote w:type="continuationSeparator" w:id="0">
    <w:p w14:paraId="62AEE681" w14:textId="77777777" w:rsidR="00852703" w:rsidRDefault="00852703" w:rsidP="005F4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664D" w14:textId="77777777" w:rsidR="002B0FD0" w:rsidRDefault="002B0FD0" w:rsidP="005F4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32B3" w14:textId="77777777" w:rsidR="002B0FD0" w:rsidRDefault="002B0FD0" w:rsidP="005F46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A38D" w14:textId="77777777" w:rsidR="002B0FD0" w:rsidRDefault="001B7708" w:rsidP="005F46F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24EB11" wp14:editId="635ACF81">
          <wp:simplePos x="0" y="0"/>
          <wp:positionH relativeFrom="column">
            <wp:posOffset>4968240</wp:posOffset>
          </wp:positionH>
          <wp:positionV relativeFrom="paragraph">
            <wp:posOffset>13970</wp:posOffset>
          </wp:positionV>
          <wp:extent cx="808355" cy="342900"/>
          <wp:effectExtent l="0" t="0" r="0" b="0"/>
          <wp:wrapSquare wrapText="bothSides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5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2245D35"/>
    <w:multiLevelType w:val="multilevel"/>
    <w:tmpl w:val="DCEA8B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8B95FF2"/>
    <w:multiLevelType w:val="multilevel"/>
    <w:tmpl w:val="127A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4D0365"/>
    <w:multiLevelType w:val="multilevel"/>
    <w:tmpl w:val="C49C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812C41"/>
    <w:multiLevelType w:val="multilevel"/>
    <w:tmpl w:val="E67E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7E5AFB"/>
    <w:multiLevelType w:val="multilevel"/>
    <w:tmpl w:val="1578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70280B"/>
    <w:multiLevelType w:val="multilevel"/>
    <w:tmpl w:val="D406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FB704F"/>
    <w:multiLevelType w:val="multilevel"/>
    <w:tmpl w:val="C4E6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AA26C9"/>
    <w:multiLevelType w:val="hybridMultilevel"/>
    <w:tmpl w:val="3BA46A7A"/>
    <w:lvl w:ilvl="0" w:tplc="F2E27D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B19A6"/>
    <w:multiLevelType w:val="multilevel"/>
    <w:tmpl w:val="3BFA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253708"/>
    <w:multiLevelType w:val="multilevel"/>
    <w:tmpl w:val="B680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E5745D"/>
    <w:multiLevelType w:val="hybridMultilevel"/>
    <w:tmpl w:val="DF06683A"/>
    <w:lvl w:ilvl="0" w:tplc="1988BDF6">
      <w:start w:val="1"/>
      <w:numFmt w:val="bullet"/>
      <w:pStyle w:val="odrazkynatesno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F4348F"/>
    <w:multiLevelType w:val="multilevel"/>
    <w:tmpl w:val="E2E02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upperLetter"/>
      <w:pStyle w:val="Heading3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8D28CF"/>
    <w:multiLevelType w:val="hybridMultilevel"/>
    <w:tmpl w:val="35185B9E"/>
    <w:lvl w:ilvl="0" w:tplc="110A0E68">
      <w:start w:val="1"/>
      <w:numFmt w:val="decimal"/>
      <w:pStyle w:val="odrazkycislovane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FFFFFFFF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A1B30FD"/>
    <w:multiLevelType w:val="multilevel"/>
    <w:tmpl w:val="17A6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367477"/>
    <w:multiLevelType w:val="multilevel"/>
    <w:tmpl w:val="AA0C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517371"/>
    <w:multiLevelType w:val="multilevel"/>
    <w:tmpl w:val="06D6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D10E6"/>
    <w:multiLevelType w:val="multilevel"/>
    <w:tmpl w:val="F666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F05C13"/>
    <w:multiLevelType w:val="multilevel"/>
    <w:tmpl w:val="0F10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010AAE"/>
    <w:multiLevelType w:val="multilevel"/>
    <w:tmpl w:val="AB48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6F6208"/>
    <w:multiLevelType w:val="multilevel"/>
    <w:tmpl w:val="1648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976F4B"/>
    <w:multiLevelType w:val="multilevel"/>
    <w:tmpl w:val="E020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485633"/>
    <w:multiLevelType w:val="multilevel"/>
    <w:tmpl w:val="65B8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463844"/>
    <w:multiLevelType w:val="multilevel"/>
    <w:tmpl w:val="AF46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3D132E"/>
    <w:multiLevelType w:val="multilevel"/>
    <w:tmpl w:val="11DA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541546">
    <w:abstractNumId w:val="10"/>
  </w:num>
  <w:num w:numId="2" w16cid:durableId="2030912809">
    <w:abstractNumId w:val="20"/>
  </w:num>
  <w:num w:numId="3" w16cid:durableId="1999651611">
    <w:abstractNumId w:val="22"/>
  </w:num>
  <w:num w:numId="4" w16cid:durableId="1547839107">
    <w:abstractNumId w:val="21"/>
  </w:num>
  <w:num w:numId="5" w16cid:durableId="639069978">
    <w:abstractNumId w:val="17"/>
  </w:num>
  <w:num w:numId="6" w16cid:durableId="457722935">
    <w:abstractNumId w:val="16"/>
  </w:num>
  <w:num w:numId="7" w16cid:durableId="1023019574">
    <w:abstractNumId w:val="13"/>
  </w:num>
  <w:num w:numId="8" w16cid:durableId="2000303367">
    <w:abstractNumId w:val="31"/>
  </w:num>
  <w:num w:numId="9" w16cid:durableId="1537960650">
    <w:abstractNumId w:val="15"/>
  </w:num>
  <w:num w:numId="10" w16cid:durableId="394283525">
    <w:abstractNumId w:val="14"/>
  </w:num>
  <w:num w:numId="11" w16cid:durableId="502865813">
    <w:abstractNumId w:val="30"/>
  </w:num>
  <w:num w:numId="12" w16cid:durableId="390617112">
    <w:abstractNumId w:val="25"/>
  </w:num>
  <w:num w:numId="13" w16cid:durableId="1347714646">
    <w:abstractNumId w:val="26"/>
  </w:num>
  <w:num w:numId="14" w16cid:durableId="2145197729">
    <w:abstractNumId w:val="33"/>
  </w:num>
  <w:num w:numId="15" w16cid:durableId="696351167">
    <w:abstractNumId w:val="23"/>
  </w:num>
  <w:num w:numId="16" w16cid:durableId="981467508">
    <w:abstractNumId w:val="27"/>
  </w:num>
  <w:num w:numId="17" w16cid:durableId="601914205">
    <w:abstractNumId w:val="29"/>
  </w:num>
  <w:num w:numId="18" w16cid:durableId="39021236">
    <w:abstractNumId w:val="28"/>
  </w:num>
  <w:num w:numId="19" w16cid:durableId="1627546855">
    <w:abstractNumId w:val="24"/>
  </w:num>
  <w:num w:numId="20" w16cid:durableId="1784300112">
    <w:abstractNumId w:val="19"/>
  </w:num>
  <w:num w:numId="21" w16cid:durableId="993412594">
    <w:abstractNumId w:val="18"/>
  </w:num>
  <w:num w:numId="22" w16cid:durableId="643781276">
    <w:abstractNumId w:val="11"/>
  </w:num>
  <w:num w:numId="23" w16cid:durableId="366224366">
    <w:abstractNumId w:val="32"/>
  </w:num>
  <w:num w:numId="24" w16cid:durableId="644774128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A5"/>
    <w:rsid w:val="000048F6"/>
    <w:rsid w:val="00007586"/>
    <w:rsid w:val="000127F1"/>
    <w:rsid w:val="00016934"/>
    <w:rsid w:val="0003277A"/>
    <w:rsid w:val="00046F95"/>
    <w:rsid w:val="00092137"/>
    <w:rsid w:val="000A05E6"/>
    <w:rsid w:val="000A7363"/>
    <w:rsid w:val="000C23BC"/>
    <w:rsid w:val="000C7F84"/>
    <w:rsid w:val="000D0F01"/>
    <w:rsid w:val="000D3A09"/>
    <w:rsid w:val="000D7A99"/>
    <w:rsid w:val="000E1575"/>
    <w:rsid w:val="000F03D1"/>
    <w:rsid w:val="000F4E21"/>
    <w:rsid w:val="000F56B0"/>
    <w:rsid w:val="00103BFA"/>
    <w:rsid w:val="001161B1"/>
    <w:rsid w:val="001177B2"/>
    <w:rsid w:val="00134F3C"/>
    <w:rsid w:val="00147599"/>
    <w:rsid w:val="001558EC"/>
    <w:rsid w:val="00165E38"/>
    <w:rsid w:val="00171B66"/>
    <w:rsid w:val="00175496"/>
    <w:rsid w:val="00184931"/>
    <w:rsid w:val="001851C8"/>
    <w:rsid w:val="0018747E"/>
    <w:rsid w:val="001946F6"/>
    <w:rsid w:val="001956B7"/>
    <w:rsid w:val="001A7B1B"/>
    <w:rsid w:val="001B7708"/>
    <w:rsid w:val="001C6C3F"/>
    <w:rsid w:val="001E1BC8"/>
    <w:rsid w:val="001E22EF"/>
    <w:rsid w:val="001F0453"/>
    <w:rsid w:val="002047CB"/>
    <w:rsid w:val="002218C0"/>
    <w:rsid w:val="0022588B"/>
    <w:rsid w:val="00232F61"/>
    <w:rsid w:val="00236DA6"/>
    <w:rsid w:val="00243533"/>
    <w:rsid w:val="0024504A"/>
    <w:rsid w:val="00261037"/>
    <w:rsid w:val="00265973"/>
    <w:rsid w:val="00266A41"/>
    <w:rsid w:val="00281A46"/>
    <w:rsid w:val="00281A47"/>
    <w:rsid w:val="00281F65"/>
    <w:rsid w:val="00287710"/>
    <w:rsid w:val="002A3AE4"/>
    <w:rsid w:val="002B015C"/>
    <w:rsid w:val="002B0FD0"/>
    <w:rsid w:val="002B18AB"/>
    <w:rsid w:val="002B4D3E"/>
    <w:rsid w:val="002B4EF6"/>
    <w:rsid w:val="002C2959"/>
    <w:rsid w:val="002C40CB"/>
    <w:rsid w:val="002D5E6E"/>
    <w:rsid w:val="002E1BCB"/>
    <w:rsid w:val="002E2B95"/>
    <w:rsid w:val="002E5D54"/>
    <w:rsid w:val="002F0277"/>
    <w:rsid w:val="002F60E7"/>
    <w:rsid w:val="002F6C85"/>
    <w:rsid w:val="002F708C"/>
    <w:rsid w:val="002F714D"/>
    <w:rsid w:val="0030396B"/>
    <w:rsid w:val="00303FA5"/>
    <w:rsid w:val="0031401F"/>
    <w:rsid w:val="00322215"/>
    <w:rsid w:val="00322E44"/>
    <w:rsid w:val="00322FDC"/>
    <w:rsid w:val="00330081"/>
    <w:rsid w:val="00330F3A"/>
    <w:rsid w:val="00340F91"/>
    <w:rsid w:val="00351F48"/>
    <w:rsid w:val="003540C8"/>
    <w:rsid w:val="003639DE"/>
    <w:rsid w:val="003647EC"/>
    <w:rsid w:val="00366CCB"/>
    <w:rsid w:val="003806EA"/>
    <w:rsid w:val="0038276E"/>
    <w:rsid w:val="003A2927"/>
    <w:rsid w:val="003B4791"/>
    <w:rsid w:val="003B758F"/>
    <w:rsid w:val="003C08B6"/>
    <w:rsid w:val="003C3306"/>
    <w:rsid w:val="003C4D62"/>
    <w:rsid w:val="003C5297"/>
    <w:rsid w:val="003D373D"/>
    <w:rsid w:val="003D6E6E"/>
    <w:rsid w:val="003E2447"/>
    <w:rsid w:val="003E2D19"/>
    <w:rsid w:val="003E39ED"/>
    <w:rsid w:val="003F04A4"/>
    <w:rsid w:val="003F20B4"/>
    <w:rsid w:val="004179DF"/>
    <w:rsid w:val="004316F6"/>
    <w:rsid w:val="004353C7"/>
    <w:rsid w:val="00436183"/>
    <w:rsid w:val="004361CF"/>
    <w:rsid w:val="00441AAB"/>
    <w:rsid w:val="004443E6"/>
    <w:rsid w:val="00450B06"/>
    <w:rsid w:val="004534CA"/>
    <w:rsid w:val="00462D21"/>
    <w:rsid w:val="004657E0"/>
    <w:rsid w:val="004722F2"/>
    <w:rsid w:val="004768D5"/>
    <w:rsid w:val="004904CA"/>
    <w:rsid w:val="00490C14"/>
    <w:rsid w:val="00495D2D"/>
    <w:rsid w:val="004A03F0"/>
    <w:rsid w:val="004A06F4"/>
    <w:rsid w:val="004A38A1"/>
    <w:rsid w:val="004A411E"/>
    <w:rsid w:val="004B08E5"/>
    <w:rsid w:val="004B2406"/>
    <w:rsid w:val="004C524A"/>
    <w:rsid w:val="004D176A"/>
    <w:rsid w:val="004D1A28"/>
    <w:rsid w:val="004D3535"/>
    <w:rsid w:val="004D3809"/>
    <w:rsid w:val="004E0C25"/>
    <w:rsid w:val="004E4941"/>
    <w:rsid w:val="004E66DA"/>
    <w:rsid w:val="004F152A"/>
    <w:rsid w:val="005000F9"/>
    <w:rsid w:val="00500431"/>
    <w:rsid w:val="00500C9B"/>
    <w:rsid w:val="0050516F"/>
    <w:rsid w:val="00506926"/>
    <w:rsid w:val="00514CB0"/>
    <w:rsid w:val="005178C6"/>
    <w:rsid w:val="00527A8F"/>
    <w:rsid w:val="00546F43"/>
    <w:rsid w:val="00552EEB"/>
    <w:rsid w:val="0055608D"/>
    <w:rsid w:val="00565FA2"/>
    <w:rsid w:val="0057553B"/>
    <w:rsid w:val="00582272"/>
    <w:rsid w:val="00586F55"/>
    <w:rsid w:val="0058755E"/>
    <w:rsid w:val="005A5EED"/>
    <w:rsid w:val="005B2C74"/>
    <w:rsid w:val="005C633F"/>
    <w:rsid w:val="005D2713"/>
    <w:rsid w:val="005D6B06"/>
    <w:rsid w:val="005E2E07"/>
    <w:rsid w:val="005E3393"/>
    <w:rsid w:val="005E61BB"/>
    <w:rsid w:val="005F46F2"/>
    <w:rsid w:val="005F6DF7"/>
    <w:rsid w:val="00603D84"/>
    <w:rsid w:val="006075FE"/>
    <w:rsid w:val="00610ADF"/>
    <w:rsid w:val="00611C82"/>
    <w:rsid w:val="006125A2"/>
    <w:rsid w:val="0061770B"/>
    <w:rsid w:val="006201D1"/>
    <w:rsid w:val="00624D98"/>
    <w:rsid w:val="00626B24"/>
    <w:rsid w:val="00627F44"/>
    <w:rsid w:val="00631632"/>
    <w:rsid w:val="00635964"/>
    <w:rsid w:val="00636EC8"/>
    <w:rsid w:val="00642B39"/>
    <w:rsid w:val="00645CA0"/>
    <w:rsid w:val="0064684B"/>
    <w:rsid w:val="006851E3"/>
    <w:rsid w:val="006B6BE9"/>
    <w:rsid w:val="006D090B"/>
    <w:rsid w:val="006D22BB"/>
    <w:rsid w:val="006D284E"/>
    <w:rsid w:val="006D4BA7"/>
    <w:rsid w:val="006F60DA"/>
    <w:rsid w:val="006F6540"/>
    <w:rsid w:val="007045D8"/>
    <w:rsid w:val="00704802"/>
    <w:rsid w:val="0070493D"/>
    <w:rsid w:val="00707779"/>
    <w:rsid w:val="00715754"/>
    <w:rsid w:val="007202F7"/>
    <w:rsid w:val="00740CD8"/>
    <w:rsid w:val="007463C8"/>
    <w:rsid w:val="00751071"/>
    <w:rsid w:val="007547F5"/>
    <w:rsid w:val="00763007"/>
    <w:rsid w:val="007639F1"/>
    <w:rsid w:val="00763D4B"/>
    <w:rsid w:val="007727FF"/>
    <w:rsid w:val="007815E9"/>
    <w:rsid w:val="00791F3B"/>
    <w:rsid w:val="0079427D"/>
    <w:rsid w:val="00796B15"/>
    <w:rsid w:val="007A372A"/>
    <w:rsid w:val="007B19F2"/>
    <w:rsid w:val="007B7872"/>
    <w:rsid w:val="007C08D4"/>
    <w:rsid w:val="007C211B"/>
    <w:rsid w:val="007D2C9B"/>
    <w:rsid w:val="007D2FDC"/>
    <w:rsid w:val="007D5671"/>
    <w:rsid w:val="007D770C"/>
    <w:rsid w:val="007F5A52"/>
    <w:rsid w:val="00813EC9"/>
    <w:rsid w:val="008177AE"/>
    <w:rsid w:val="00821A58"/>
    <w:rsid w:val="00822064"/>
    <w:rsid w:val="00847B3B"/>
    <w:rsid w:val="00852703"/>
    <w:rsid w:val="0086407D"/>
    <w:rsid w:val="00882B67"/>
    <w:rsid w:val="008A1BB3"/>
    <w:rsid w:val="008A4549"/>
    <w:rsid w:val="008C1A4D"/>
    <w:rsid w:val="008C2D40"/>
    <w:rsid w:val="008C33E7"/>
    <w:rsid w:val="008D018B"/>
    <w:rsid w:val="008E3A6F"/>
    <w:rsid w:val="008E64CC"/>
    <w:rsid w:val="008F0AFC"/>
    <w:rsid w:val="008F58E3"/>
    <w:rsid w:val="008F62B1"/>
    <w:rsid w:val="00900E5F"/>
    <w:rsid w:val="00906EA3"/>
    <w:rsid w:val="009137D6"/>
    <w:rsid w:val="009148AB"/>
    <w:rsid w:val="00922BE9"/>
    <w:rsid w:val="00922E7E"/>
    <w:rsid w:val="00931116"/>
    <w:rsid w:val="00942D15"/>
    <w:rsid w:val="00947276"/>
    <w:rsid w:val="00951ACB"/>
    <w:rsid w:val="0095497D"/>
    <w:rsid w:val="00971CC2"/>
    <w:rsid w:val="00973B2D"/>
    <w:rsid w:val="009763EA"/>
    <w:rsid w:val="009810C0"/>
    <w:rsid w:val="00994EE7"/>
    <w:rsid w:val="009A2057"/>
    <w:rsid w:val="009A2613"/>
    <w:rsid w:val="009A3FDA"/>
    <w:rsid w:val="009B0C44"/>
    <w:rsid w:val="009D4FD1"/>
    <w:rsid w:val="009D5274"/>
    <w:rsid w:val="009E575D"/>
    <w:rsid w:val="009F2378"/>
    <w:rsid w:val="00A0336D"/>
    <w:rsid w:val="00A0643C"/>
    <w:rsid w:val="00A271F1"/>
    <w:rsid w:val="00A45756"/>
    <w:rsid w:val="00A51939"/>
    <w:rsid w:val="00A72039"/>
    <w:rsid w:val="00A7770D"/>
    <w:rsid w:val="00A90A24"/>
    <w:rsid w:val="00A92923"/>
    <w:rsid w:val="00AA0BE7"/>
    <w:rsid w:val="00AD1B31"/>
    <w:rsid w:val="00AE0A9D"/>
    <w:rsid w:val="00AE13BA"/>
    <w:rsid w:val="00AE35B6"/>
    <w:rsid w:val="00AE42F2"/>
    <w:rsid w:val="00AF6762"/>
    <w:rsid w:val="00AF7B50"/>
    <w:rsid w:val="00B01150"/>
    <w:rsid w:val="00B05921"/>
    <w:rsid w:val="00B147E4"/>
    <w:rsid w:val="00B24A22"/>
    <w:rsid w:val="00B27117"/>
    <w:rsid w:val="00B30068"/>
    <w:rsid w:val="00B44C86"/>
    <w:rsid w:val="00B57DCC"/>
    <w:rsid w:val="00B60219"/>
    <w:rsid w:val="00B6253F"/>
    <w:rsid w:val="00B6645C"/>
    <w:rsid w:val="00B8356D"/>
    <w:rsid w:val="00B84355"/>
    <w:rsid w:val="00B846D6"/>
    <w:rsid w:val="00B96AFC"/>
    <w:rsid w:val="00BA4CE5"/>
    <w:rsid w:val="00BB344A"/>
    <w:rsid w:val="00BE2B3B"/>
    <w:rsid w:val="00BE3302"/>
    <w:rsid w:val="00BE4BBB"/>
    <w:rsid w:val="00BF0EC8"/>
    <w:rsid w:val="00BF4416"/>
    <w:rsid w:val="00BF48A8"/>
    <w:rsid w:val="00C002AC"/>
    <w:rsid w:val="00C0064C"/>
    <w:rsid w:val="00C0578C"/>
    <w:rsid w:val="00C059A5"/>
    <w:rsid w:val="00C14B7E"/>
    <w:rsid w:val="00C24FD9"/>
    <w:rsid w:val="00C34EA7"/>
    <w:rsid w:val="00C34ECB"/>
    <w:rsid w:val="00C60917"/>
    <w:rsid w:val="00C611A5"/>
    <w:rsid w:val="00C671B3"/>
    <w:rsid w:val="00C80074"/>
    <w:rsid w:val="00C807BF"/>
    <w:rsid w:val="00C83169"/>
    <w:rsid w:val="00C87208"/>
    <w:rsid w:val="00C877AB"/>
    <w:rsid w:val="00C97B17"/>
    <w:rsid w:val="00CA3D16"/>
    <w:rsid w:val="00CA73A6"/>
    <w:rsid w:val="00CB1516"/>
    <w:rsid w:val="00CB2636"/>
    <w:rsid w:val="00CC453C"/>
    <w:rsid w:val="00CC7923"/>
    <w:rsid w:val="00CC7BA3"/>
    <w:rsid w:val="00CD3648"/>
    <w:rsid w:val="00CD66EB"/>
    <w:rsid w:val="00CE0D7A"/>
    <w:rsid w:val="00CE3D16"/>
    <w:rsid w:val="00CE5170"/>
    <w:rsid w:val="00CE6045"/>
    <w:rsid w:val="00CE76C6"/>
    <w:rsid w:val="00CF2707"/>
    <w:rsid w:val="00CF5A1C"/>
    <w:rsid w:val="00CF6D89"/>
    <w:rsid w:val="00D00C73"/>
    <w:rsid w:val="00D033C0"/>
    <w:rsid w:val="00D05025"/>
    <w:rsid w:val="00D05672"/>
    <w:rsid w:val="00D066B0"/>
    <w:rsid w:val="00D113AB"/>
    <w:rsid w:val="00D172A0"/>
    <w:rsid w:val="00D17730"/>
    <w:rsid w:val="00D24227"/>
    <w:rsid w:val="00D44294"/>
    <w:rsid w:val="00D531A3"/>
    <w:rsid w:val="00D53D6F"/>
    <w:rsid w:val="00D54781"/>
    <w:rsid w:val="00D66DEF"/>
    <w:rsid w:val="00D67B42"/>
    <w:rsid w:val="00D70B7C"/>
    <w:rsid w:val="00D84E89"/>
    <w:rsid w:val="00D8548C"/>
    <w:rsid w:val="00D87C7B"/>
    <w:rsid w:val="00D96B46"/>
    <w:rsid w:val="00DA2C83"/>
    <w:rsid w:val="00DA30C0"/>
    <w:rsid w:val="00DA4AC3"/>
    <w:rsid w:val="00DB07F5"/>
    <w:rsid w:val="00DB0D03"/>
    <w:rsid w:val="00DC6EA3"/>
    <w:rsid w:val="00DC782A"/>
    <w:rsid w:val="00DD1956"/>
    <w:rsid w:val="00DE463B"/>
    <w:rsid w:val="00E078B3"/>
    <w:rsid w:val="00E2677B"/>
    <w:rsid w:val="00E31675"/>
    <w:rsid w:val="00E32ECE"/>
    <w:rsid w:val="00E35C31"/>
    <w:rsid w:val="00E36964"/>
    <w:rsid w:val="00E3750B"/>
    <w:rsid w:val="00E41379"/>
    <w:rsid w:val="00E6659B"/>
    <w:rsid w:val="00E73DE2"/>
    <w:rsid w:val="00E7505E"/>
    <w:rsid w:val="00E837C3"/>
    <w:rsid w:val="00E8706C"/>
    <w:rsid w:val="00E87552"/>
    <w:rsid w:val="00E91CA7"/>
    <w:rsid w:val="00E94EC2"/>
    <w:rsid w:val="00E9584E"/>
    <w:rsid w:val="00EA5026"/>
    <w:rsid w:val="00EA70A3"/>
    <w:rsid w:val="00EB6B2A"/>
    <w:rsid w:val="00ED6CA8"/>
    <w:rsid w:val="00EE2D70"/>
    <w:rsid w:val="00EF2C6D"/>
    <w:rsid w:val="00F11AF0"/>
    <w:rsid w:val="00F12006"/>
    <w:rsid w:val="00F161B4"/>
    <w:rsid w:val="00F34F4C"/>
    <w:rsid w:val="00F3678A"/>
    <w:rsid w:val="00F37E5D"/>
    <w:rsid w:val="00F40AC5"/>
    <w:rsid w:val="00F554A7"/>
    <w:rsid w:val="00F7133B"/>
    <w:rsid w:val="00F80E15"/>
    <w:rsid w:val="00F87CDE"/>
    <w:rsid w:val="00F9011E"/>
    <w:rsid w:val="00FD019F"/>
    <w:rsid w:val="00FD06D4"/>
    <w:rsid w:val="00FD1C05"/>
    <w:rsid w:val="00FD5DF6"/>
    <w:rsid w:val="00FE0155"/>
    <w:rsid w:val="00F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298A9F"/>
  <w15:docId w15:val="{BE499586-5518-A349-B5E9-79F1B276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F2"/>
    <w:pPr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rFonts w:ascii="Source Sans Pro" w:hAnsi="Source Sans Pro" w:cs="Arial"/>
      <w:color w:val="44546A" w:themeColor="text2"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5E9"/>
    <w:pPr>
      <w:keepNext/>
      <w:keepLines/>
      <w:pageBreakBefore/>
      <w:tabs>
        <w:tab w:val="left" w:pos="720"/>
        <w:tab w:val="left" w:pos="851"/>
        <w:tab w:val="num" w:pos="1134"/>
      </w:tabs>
      <w:ind w:left="1134" w:hanging="1134"/>
      <w:jc w:val="left"/>
      <w:outlineLvl w:val="0"/>
    </w:pPr>
    <w:rPr>
      <w:rFonts w:ascii="Nunito" w:hAnsi="Nunito" w:cs="Open Sans"/>
      <w:b/>
      <w:bCs/>
      <w:color w:val="6B09E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A4D"/>
    <w:pPr>
      <w:keepNext/>
      <w:keepLines/>
      <w:spacing w:before="200" w:after="240"/>
      <w:ind w:left="0"/>
      <w:outlineLvl w:val="1"/>
    </w:pPr>
    <w:rPr>
      <w:rFonts w:ascii="Nunito" w:hAnsi="Nunito" w:cs="Open Sans"/>
      <w:b/>
      <w:bCs/>
      <w:color w:val="6B09E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1A4D"/>
    <w:pPr>
      <w:keepNext/>
      <w:keepLines/>
      <w:numPr>
        <w:ilvl w:val="2"/>
        <w:numId w:val="4"/>
      </w:numPr>
      <w:spacing w:before="200" w:after="240"/>
      <w:outlineLvl w:val="2"/>
    </w:pPr>
    <w:rPr>
      <w:rFonts w:ascii="Nunito" w:hAnsi="Nunito" w:cs="Open Sans"/>
      <w:b/>
      <w:bCs/>
      <w:color w:val="6B09EF"/>
      <w:sz w:val="24"/>
    </w:rPr>
  </w:style>
  <w:style w:type="paragraph" w:styleId="Heading4">
    <w:name w:val="heading 4"/>
    <w:basedOn w:val="NormalIndent"/>
    <w:next w:val="Normal"/>
    <w:link w:val="Heading4Char"/>
    <w:uiPriority w:val="9"/>
    <w:unhideWhenUsed/>
    <w:qFormat/>
    <w:rsid w:val="00AA0BE7"/>
    <w:pPr>
      <w:ind w:hanging="294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B18AB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2B18AB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B18AB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2B18AB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2B18AB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5E9"/>
    <w:rPr>
      <w:rFonts w:ascii="Nunito" w:hAnsi="Nunito" w:cs="Open Sans"/>
      <w:b/>
      <w:bCs/>
      <w:color w:val="6B09EF"/>
      <w:sz w:val="40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C1A4D"/>
    <w:rPr>
      <w:rFonts w:ascii="Nunito" w:hAnsi="Nunito" w:cs="Open Sans"/>
      <w:b/>
      <w:bCs/>
      <w:color w:val="6B09EF"/>
      <w:sz w:val="28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C1A4D"/>
    <w:rPr>
      <w:rFonts w:ascii="Nunito" w:hAnsi="Nunito" w:cs="Open Sans"/>
      <w:b/>
      <w:bCs/>
      <w:color w:val="6B09EF"/>
      <w:sz w:val="24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A0BE7"/>
    <w:rPr>
      <w:rFonts w:ascii="Source Sans Pro" w:hAnsi="Source Sans Pro" w:cs="Arial"/>
      <w:b/>
      <w:bCs/>
      <w:color w:val="44546A" w:themeColor="text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B18AB"/>
    <w:rPr>
      <w:rFonts w:ascii="Cambria" w:hAnsi="Cambria" w:cs="Arial"/>
      <w:color w:val="243F60"/>
      <w:sz w:val="18"/>
      <w:szCs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B18AB"/>
    <w:rPr>
      <w:rFonts w:ascii="Cambria" w:hAnsi="Cambria" w:cs="Arial"/>
      <w:i/>
      <w:iCs/>
      <w:color w:val="243F60"/>
      <w:sz w:val="18"/>
      <w:szCs w:val="18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B18AB"/>
    <w:rPr>
      <w:rFonts w:ascii="Cambria" w:hAnsi="Cambria" w:cs="Arial"/>
      <w:i/>
      <w:iCs/>
      <w:color w:val="404040"/>
      <w:sz w:val="18"/>
      <w:szCs w:val="1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2B18AB"/>
    <w:rPr>
      <w:rFonts w:ascii="Cambria" w:hAnsi="Cambria" w:cs="Arial"/>
      <w:color w:val="4F81BD"/>
      <w:sz w:val="18"/>
      <w:szCs w:val="1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2B18AB"/>
    <w:rPr>
      <w:rFonts w:ascii="Cambria" w:hAnsi="Cambria" w:cs="Arial"/>
      <w:i/>
      <w:iCs/>
      <w:color w:val="404040"/>
      <w:sz w:val="18"/>
      <w:szCs w:val="18"/>
      <w:lang w:eastAsia="en-US"/>
    </w:rPr>
  </w:style>
  <w:style w:type="paragraph" w:styleId="Caption">
    <w:name w:val="caption"/>
    <w:aliases w:val="-tabulka"/>
    <w:basedOn w:val="Normal"/>
    <w:next w:val="Normal"/>
    <w:unhideWhenUsed/>
    <w:rsid w:val="00F37E5D"/>
    <w:pPr>
      <w:spacing w:before="60" w:after="60"/>
      <w:ind w:left="0"/>
    </w:pPr>
  </w:style>
  <w:style w:type="paragraph" w:styleId="Title">
    <w:name w:val="Title"/>
    <w:basedOn w:val="Normal"/>
    <w:next w:val="Normal"/>
    <w:link w:val="TitleChar"/>
    <w:uiPriority w:val="10"/>
    <w:rsid w:val="002B18A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18A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2B18AB"/>
    <w:pPr>
      <w:numPr>
        <w:ilvl w:val="1"/>
      </w:numPr>
      <w:ind w:left="851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18A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B18AB"/>
    <w:rPr>
      <w:b/>
      <w:bCs/>
    </w:rPr>
  </w:style>
  <w:style w:type="character" w:styleId="Emphasis">
    <w:name w:val="Emphasis"/>
    <w:basedOn w:val="DefaultParagraphFont"/>
    <w:uiPriority w:val="20"/>
    <w:qFormat/>
    <w:rsid w:val="002B18AB"/>
    <w:rPr>
      <w:i/>
      <w:iCs/>
    </w:rPr>
  </w:style>
  <w:style w:type="paragraph" w:styleId="NoSpacing">
    <w:name w:val="No Spacing"/>
    <w:link w:val="NoSpacingChar"/>
    <w:uiPriority w:val="1"/>
    <w:rsid w:val="002B18AB"/>
    <w:rPr>
      <w:sz w:val="22"/>
      <w:szCs w:val="22"/>
      <w:lang w:val="en-US"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B18AB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2B18AB"/>
    <w:pPr>
      <w:contextualSpacing/>
    </w:pPr>
  </w:style>
  <w:style w:type="paragraph" w:customStyle="1" w:styleId="Citace">
    <w:name w:val="Citace"/>
    <w:basedOn w:val="Normal"/>
    <w:next w:val="Normal"/>
    <w:link w:val="CitaceChar"/>
    <w:uiPriority w:val="29"/>
    <w:qFormat/>
    <w:rsid w:val="002B18AB"/>
    <w:rPr>
      <w:rFonts w:ascii="Calibri" w:hAnsi="Calibri"/>
      <w:i/>
      <w:iCs/>
      <w:color w:val="000000"/>
      <w:sz w:val="22"/>
    </w:rPr>
  </w:style>
  <w:style w:type="character" w:customStyle="1" w:styleId="CitaceChar">
    <w:name w:val="Citace Char"/>
    <w:basedOn w:val="DefaultParagraphFont"/>
    <w:link w:val="Citace"/>
    <w:uiPriority w:val="29"/>
    <w:rsid w:val="002B18AB"/>
    <w:rPr>
      <w:i/>
      <w:iCs/>
      <w:color w:val="000000"/>
    </w:rPr>
  </w:style>
  <w:style w:type="paragraph" w:customStyle="1" w:styleId="Citaceintenzivn">
    <w:name w:val="Citace – intenzivní"/>
    <w:basedOn w:val="Normal"/>
    <w:next w:val="Normal"/>
    <w:link w:val="CitaceintenzivnChar"/>
    <w:uiPriority w:val="30"/>
    <w:rsid w:val="002B18AB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2"/>
    </w:rPr>
  </w:style>
  <w:style w:type="character" w:customStyle="1" w:styleId="CitaceintenzivnChar">
    <w:name w:val="Citace – intenzivní Char"/>
    <w:basedOn w:val="DefaultParagraphFont"/>
    <w:link w:val="Citaceintenzivn"/>
    <w:uiPriority w:val="30"/>
    <w:rsid w:val="002B18AB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rsid w:val="002B18AB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2B18AB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2B18AB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2B18AB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18A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18AB"/>
    <w:pPr>
      <w:tabs>
        <w:tab w:val="clear" w:pos="1134"/>
      </w:tabs>
      <w:ind w:left="0" w:firstLine="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284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84E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al"/>
    <w:rsid w:val="00CB2636"/>
    <w:pPr>
      <w:keepLines/>
      <w:spacing w:before="20" w:after="20"/>
      <w:jc w:val="left"/>
    </w:pPr>
    <w:rPr>
      <w:rFonts w:ascii="Calibri" w:hAnsi="Calibri"/>
      <w:lang w:val="en-GB"/>
    </w:rPr>
  </w:style>
  <w:style w:type="paragraph" w:customStyle="1" w:styleId="TableHeading">
    <w:name w:val="Table Heading"/>
    <w:basedOn w:val="Normal"/>
    <w:autoRedefine/>
    <w:qFormat/>
    <w:rsid w:val="003647EC"/>
    <w:pPr>
      <w:keepLines/>
      <w:spacing w:before="60" w:after="60"/>
      <w:ind w:left="171" w:right="57" w:hanging="134"/>
      <w:jc w:val="left"/>
    </w:pPr>
    <w:rPr>
      <w:rFonts w:ascii="Open Sans" w:eastAsiaTheme="minorEastAsia" w:hAnsi="Open Sans" w:cs="Open Sans"/>
      <w:b/>
      <w:snapToGrid w:val="0"/>
      <w:color w:val="FFFFFF" w:themeColor="background1"/>
      <w:sz w:val="16"/>
      <w:lang w:val="en-GB"/>
    </w:rPr>
  </w:style>
  <w:style w:type="paragraph" w:styleId="NormalIndent">
    <w:name w:val="Normal Indent"/>
    <w:basedOn w:val="Normal"/>
    <w:rsid w:val="008A4549"/>
  </w:style>
  <w:style w:type="paragraph" w:customStyle="1" w:styleId="CharCharCharChar">
    <w:name w:val="Char Char Char Char"/>
    <w:basedOn w:val="Normal"/>
    <w:rsid w:val="008A4549"/>
    <w:pPr>
      <w:spacing w:after="160" w:line="240" w:lineRule="exact"/>
      <w:jc w:val="left"/>
    </w:pPr>
    <w:rPr>
      <w:rFonts w:ascii="Tahoma" w:hAnsi="Tahoma"/>
    </w:rPr>
  </w:style>
  <w:style w:type="paragraph" w:styleId="TOC1">
    <w:name w:val="toc 1"/>
    <w:basedOn w:val="Normal"/>
    <w:next w:val="Normal"/>
    <w:uiPriority w:val="39"/>
    <w:rsid w:val="008A4549"/>
    <w:pPr>
      <w:jc w:val="left"/>
    </w:pPr>
    <w:rPr>
      <w:b/>
      <w:bCs/>
      <w:caps/>
    </w:rPr>
  </w:style>
  <w:style w:type="paragraph" w:styleId="TOC2">
    <w:name w:val="toc 2"/>
    <w:basedOn w:val="Normal"/>
    <w:next w:val="Normal"/>
    <w:uiPriority w:val="39"/>
    <w:rsid w:val="008A4549"/>
    <w:pPr>
      <w:spacing w:after="0"/>
      <w:ind w:left="240"/>
      <w:jc w:val="left"/>
    </w:pPr>
    <w:rPr>
      <w:smallCaps/>
    </w:rPr>
  </w:style>
  <w:style w:type="paragraph" w:styleId="Header">
    <w:name w:val="header"/>
    <w:basedOn w:val="Normal"/>
    <w:link w:val="HeaderChar"/>
    <w:rsid w:val="008A4549"/>
    <w:pPr>
      <w:tabs>
        <w:tab w:val="center" w:pos="4536"/>
        <w:tab w:val="right" w:pos="9072"/>
      </w:tabs>
      <w:spacing w:after="0"/>
      <w:jc w:val="left"/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8A4549"/>
    <w:rPr>
      <w:rFonts w:ascii="Arial" w:hAnsi="Arial"/>
      <w:lang w:val="en-GB"/>
    </w:rPr>
  </w:style>
  <w:style w:type="character" w:styleId="Hyperlink">
    <w:name w:val="Hyperlink"/>
    <w:basedOn w:val="DefaultParagraphFont"/>
    <w:uiPriority w:val="99"/>
    <w:rsid w:val="008A4549"/>
    <w:rPr>
      <w:rFonts w:ascii="Arial" w:hAnsi="Arial"/>
      <w:color w:val="0000FF"/>
      <w:sz w:val="20"/>
      <w:u w:val="single"/>
    </w:rPr>
  </w:style>
  <w:style w:type="paragraph" w:customStyle="1" w:styleId="odrazkynatesno">
    <w:name w:val="odrazky natesno"/>
    <w:basedOn w:val="Normal"/>
    <w:locked/>
    <w:rsid w:val="008A4549"/>
    <w:pPr>
      <w:numPr>
        <w:numId w:val="2"/>
      </w:numPr>
      <w:spacing w:after="0"/>
    </w:pPr>
    <w:rPr>
      <w:szCs w:val="24"/>
    </w:rPr>
  </w:style>
  <w:style w:type="paragraph" w:styleId="BodyText">
    <w:name w:val="Body Text"/>
    <w:basedOn w:val="Normal"/>
    <w:link w:val="BodyTextChar"/>
    <w:rsid w:val="008A4549"/>
    <w:pPr>
      <w:suppressAutoHyphens/>
      <w:spacing w:after="0"/>
    </w:pPr>
    <w:rPr>
      <w:sz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8A4549"/>
    <w:rPr>
      <w:rFonts w:ascii="Arial" w:hAnsi="Arial"/>
      <w:sz w:val="22"/>
      <w:lang w:val="cs-CZ" w:eastAsia="ar-SA"/>
    </w:rPr>
  </w:style>
  <w:style w:type="paragraph" w:customStyle="1" w:styleId="DefaultLTGliederung1">
    <w:name w:val="Default~LT~Gliederung 1"/>
    <w:rsid w:val="008A4549"/>
    <w:pPr>
      <w:widowControl w:val="0"/>
      <w:tabs>
        <w:tab w:val="left" w:pos="2539"/>
        <w:tab w:val="left" w:pos="5079"/>
        <w:tab w:val="left" w:pos="7619"/>
        <w:tab w:val="left" w:pos="10159"/>
        <w:tab w:val="left" w:pos="12699"/>
        <w:tab w:val="left" w:pos="15239"/>
        <w:tab w:val="left" w:pos="17779"/>
        <w:tab w:val="left" w:pos="20319"/>
        <w:tab w:val="left" w:pos="22859"/>
        <w:tab w:val="left" w:pos="25399"/>
        <w:tab w:val="left" w:pos="27939"/>
      </w:tabs>
      <w:suppressAutoHyphens/>
      <w:autoSpaceDE w:val="0"/>
      <w:spacing w:before="211"/>
      <w:ind w:left="952"/>
    </w:pPr>
    <w:rPr>
      <w:rFonts w:ascii="Tahoma" w:eastAsia="Tahoma" w:hAnsi="Tahoma"/>
      <w:color w:val="000000"/>
      <w:sz w:val="84"/>
      <w:szCs w:val="84"/>
    </w:rPr>
  </w:style>
  <w:style w:type="table" w:styleId="TableGrid">
    <w:name w:val="Table Grid"/>
    <w:basedOn w:val="TableNormal"/>
    <w:rsid w:val="008A454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4443E6"/>
    <w:pPr>
      <w:tabs>
        <w:tab w:val="num" w:pos="0"/>
        <w:tab w:val="num" w:pos="1304"/>
      </w:tabs>
      <w:spacing w:before="60" w:after="60"/>
      <w:ind w:left="37"/>
      <w:jc w:val="left"/>
    </w:pPr>
    <w:rPr>
      <w:rFonts w:ascii="Open Sans" w:eastAsiaTheme="minorEastAsia" w:hAnsi="Open Sans" w:cs="Open Sans"/>
      <w:sz w:val="13"/>
      <w:szCs w:val="13"/>
      <w:lang w:eastAsia="cs-CZ"/>
    </w:rPr>
  </w:style>
  <w:style w:type="paragraph" w:styleId="TOC3">
    <w:name w:val="toc 3"/>
    <w:basedOn w:val="Normal"/>
    <w:next w:val="Normal"/>
    <w:autoRedefine/>
    <w:uiPriority w:val="39"/>
    <w:unhideWhenUsed/>
    <w:rsid w:val="00281F65"/>
    <w:pPr>
      <w:ind w:left="400"/>
    </w:pPr>
  </w:style>
  <w:style w:type="character" w:styleId="CommentReference">
    <w:name w:val="annotation reference"/>
    <w:basedOn w:val="DefaultParagraphFont"/>
    <w:semiHidden/>
    <w:unhideWhenUsed/>
    <w:rsid w:val="00AF6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6762"/>
  </w:style>
  <w:style w:type="character" w:customStyle="1" w:styleId="CommentTextChar">
    <w:name w:val="Comment Text Char"/>
    <w:basedOn w:val="DefaultParagraphFont"/>
    <w:link w:val="CommentText"/>
    <w:uiPriority w:val="99"/>
    <w:rsid w:val="00AF6762"/>
    <w:rPr>
      <w:rFonts w:ascii="Arial" w:hAnsi="Arial"/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762"/>
    <w:rPr>
      <w:rFonts w:ascii="Arial" w:hAnsi="Arial"/>
      <w:b/>
      <w:bCs/>
      <w:lang w:val="en-US" w:eastAsia="en-US" w:bidi="en-US"/>
    </w:rPr>
  </w:style>
  <w:style w:type="paragraph" w:styleId="Revision">
    <w:name w:val="Revision"/>
    <w:hidden/>
    <w:uiPriority w:val="99"/>
    <w:semiHidden/>
    <w:rsid w:val="00AF6762"/>
    <w:rPr>
      <w:rFonts w:ascii="Arial" w:hAnsi="Arial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03277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277A"/>
    <w:rPr>
      <w:rFonts w:ascii="Arial" w:hAnsi="Arial"/>
      <w:szCs w:val="22"/>
      <w:lang w:val="en-US" w:eastAsia="en-US" w:bidi="en-US"/>
    </w:rPr>
  </w:style>
  <w:style w:type="paragraph" w:customStyle="1" w:styleId="odrazkycislovane">
    <w:name w:val="odrazky cislovane"/>
    <w:basedOn w:val="Normal"/>
    <w:locked/>
    <w:rsid w:val="0003277A"/>
    <w:pPr>
      <w:numPr>
        <w:numId w:val="3"/>
      </w:numPr>
      <w:spacing w:after="0" w:line="360" w:lineRule="auto"/>
    </w:pPr>
    <w:rPr>
      <w:lang w:eastAsia="cs-CZ"/>
    </w:rPr>
  </w:style>
  <w:style w:type="paragraph" w:styleId="NormalWeb">
    <w:name w:val="Normal (Web)"/>
    <w:basedOn w:val="Normal"/>
    <w:uiPriority w:val="99"/>
    <w:semiHidden/>
    <w:unhideWhenUsed/>
    <w:rsid w:val="00707779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cs-CZ"/>
    </w:rPr>
  </w:style>
  <w:style w:type="character" w:styleId="Mention">
    <w:name w:val="Mention"/>
    <w:basedOn w:val="DefaultParagraphFont"/>
    <w:uiPriority w:val="99"/>
    <w:semiHidden/>
    <w:unhideWhenUsed/>
    <w:rsid w:val="009B0C44"/>
    <w:rPr>
      <w:color w:val="2B579A"/>
      <w:shd w:val="clear" w:color="auto" w:fill="E6E6E6"/>
    </w:rPr>
  </w:style>
  <w:style w:type="paragraph" w:styleId="Quote">
    <w:name w:val="Quote"/>
    <w:basedOn w:val="Normal"/>
    <w:next w:val="Normal"/>
    <w:link w:val="QuoteChar"/>
    <w:uiPriority w:val="29"/>
    <w:qFormat/>
    <w:rsid w:val="004657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7E0"/>
    <w:rPr>
      <w:rFonts w:ascii="Source Sans Pro" w:hAnsi="Source Sans Pro" w:cs="Arial"/>
      <w:i/>
      <w:iCs/>
      <w:color w:val="404040" w:themeColor="text1" w:themeTint="BF"/>
      <w:lang w:eastAsia="en-US"/>
    </w:rPr>
  </w:style>
  <w:style w:type="table" w:styleId="PlainTable4">
    <w:name w:val="Plain Table 4"/>
    <w:basedOn w:val="TableNormal"/>
    <w:uiPriority w:val="44"/>
    <w:rsid w:val="0001693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B07F5"/>
    <w:rPr>
      <w:color w:val="605E5C"/>
      <w:shd w:val="clear" w:color="auto" w:fill="E1DFDD"/>
    </w:rPr>
  </w:style>
  <w:style w:type="table" w:customStyle="1" w:styleId="Finanntabulka">
    <w:name w:val="Finanční tabulka"/>
    <w:basedOn w:val="TableNormal"/>
    <w:uiPriority w:val="99"/>
    <w:rsid w:val="000127F1"/>
    <w:pPr>
      <w:spacing w:before="60" w:after="60"/>
    </w:pPr>
    <w:rPr>
      <w:rFonts w:asciiTheme="minorHAnsi" w:eastAsiaTheme="minorEastAsia" w:hAnsiTheme="minorHAnsi" w:cstheme="minorBidi"/>
      <w:color w:val="44546A" w:themeColor="text2"/>
    </w:rPr>
    <w:tblPr>
      <w:tblStyleRowBandSize w:val="1"/>
      <w:tblBorders>
        <w:top w:val="single" w:sz="4" w:space="0" w:color="ACB9CA" w:themeColor="text2" w:themeTint="66"/>
        <w:left w:val="single" w:sz="4" w:space="0" w:color="ACB9CA" w:themeColor="text2" w:themeTint="66"/>
        <w:bottom w:val="single" w:sz="4" w:space="0" w:color="ACB9CA" w:themeColor="text2" w:themeTint="66"/>
        <w:right w:val="single" w:sz="4" w:space="0" w:color="ACB9CA" w:themeColor="text2" w:themeTint="66"/>
        <w:insideV w:val="single" w:sz="4" w:space="0" w:color="ACB9CA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EFCC02" w:themeFill="accent1"/>
      </w:tcPr>
    </w:tblStylePr>
    <w:tblStylePr w:type="lastRow">
      <w:rPr>
        <w:rFonts w:asciiTheme="majorHAnsi" w:hAnsiTheme="majorHAnsi"/>
        <w:b/>
        <w:caps/>
        <w:smallCaps w:val="0"/>
        <w:color w:val="EFCC02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5DCE4" w:themeFill="tex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tien 2025">
  <a:themeElements>
    <a:clrScheme name="Aptien202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FCC02"/>
      </a:accent1>
      <a:accent2>
        <a:srgbClr val="FFAB00"/>
      </a:accent2>
      <a:accent3>
        <a:srgbClr val="E602FF"/>
      </a:accent3>
      <a:accent4>
        <a:srgbClr val="0A00B6"/>
      </a:accent4>
      <a:accent5>
        <a:srgbClr val="280A66"/>
      </a:accent5>
      <a:accent6>
        <a:srgbClr val="7602FF"/>
      </a:accent6>
      <a:hlink>
        <a:srgbClr val="0563C1"/>
      </a:hlink>
      <a:folHlink>
        <a:srgbClr val="954F72"/>
      </a:folHlink>
    </a:clrScheme>
    <a:fontScheme name="Vlastní 3">
      <a:majorFont>
        <a:latin typeface="Nunito "/>
        <a:ea typeface=""/>
        <a:cs typeface=""/>
      </a:majorFont>
      <a:minorFont>
        <a:latin typeface="Nunito Sans"/>
        <a:ea typeface=""/>
        <a:cs typeface=""/>
      </a:minorFont>
    </a:fontScheme>
    <a:fmtScheme name="Motiv Office 2013–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ien 2025" id="{3A070B22-5A92-194E-B9A6-7E0CAB6A6B46}" vid="{6237C4DF-ABFD-2A4F-8F02-683C34B56EC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08f1b-6999-4fa1-ad7c-e9c89ed064bf" xsi:nil="true"/>
    <lcf76f155ced4ddcb4097134ff3c332f xmlns="5f42566b-b067-41a7-905b-b4399b49273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2EB2E84A2B24088840F7070505CB9" ma:contentTypeVersion="20" ma:contentTypeDescription="Create a new document." ma:contentTypeScope="" ma:versionID="9d53a7a71a8a091f3497a550999b4486">
  <xsd:schema xmlns:xsd="http://www.w3.org/2001/XMLSchema" xmlns:xs="http://www.w3.org/2001/XMLSchema" xmlns:p="http://schemas.microsoft.com/office/2006/metadata/properties" xmlns:ns2="5f42566b-b067-41a7-905b-b4399b492735" xmlns:ns3="3a208f1b-6999-4fa1-ad7c-e9c89ed064bf" targetNamespace="http://schemas.microsoft.com/office/2006/metadata/properties" ma:root="true" ma:fieldsID="b8c6219d2e68adc9171d92d98cc0c1e0" ns2:_="" ns3:_="">
    <xsd:import namespace="5f42566b-b067-41a7-905b-b4399b492735"/>
    <xsd:import namespace="3a208f1b-6999-4fa1-ad7c-e9c89ed06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2566b-b067-41a7-905b-b4399b492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42e2610-3ebf-4c04-93e7-da056bbed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08f1b-6999-4fa1-ad7c-e9c89ed06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f0f0af-2c61-41e0-8d85-abe99a759cb1}" ma:internalName="TaxCatchAll" ma:showField="CatchAllData" ma:web="3a208f1b-6999-4fa1-ad7c-e9c89ed06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5BC326-4616-48DE-B485-E8249400D870}">
  <ds:schemaRefs>
    <ds:schemaRef ds:uri="http://schemas.microsoft.com/office/2006/metadata/properties"/>
    <ds:schemaRef ds:uri="http://schemas.microsoft.com/office/infopath/2007/PartnerControls"/>
    <ds:schemaRef ds:uri="3a208f1b-6999-4fa1-ad7c-e9c89ed064bf"/>
    <ds:schemaRef ds:uri="5f42566b-b067-41a7-905b-b4399b492735"/>
  </ds:schemaRefs>
</ds:datastoreItem>
</file>

<file path=customXml/itemProps2.xml><?xml version="1.0" encoding="utf-8"?>
<ds:datastoreItem xmlns:ds="http://schemas.openxmlformats.org/officeDocument/2006/customXml" ds:itemID="{2BEBDB38-645D-8E4D-9E43-E4343F3C0E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61DBC5-7A99-4DF4-B1B4-11647A559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2566b-b067-41a7-905b-b4399b492735"/>
    <ds:schemaRef ds:uri="3a208f1b-6999-4fa1-ad7c-e9c89ed06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9ED79E-87AB-4D79-A352-051A084F7D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652</Words>
  <Characters>4301</Characters>
  <Application>Microsoft Office Word</Application>
  <DocSecurity>0</DocSecurity>
  <Lines>138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eeeee</vt:lpstr>
      <vt:lpstr>eeeee</vt:lpstr>
    </vt:vector>
  </TitlesOfParts>
  <Manager/>
  <Company>Aptien</Company>
  <LinksUpToDate>false</LinksUpToDate>
  <CharactersWithSpaces>4820</CharactersWithSpaces>
  <SharedDoc>false</SharedDoc>
  <HyperlinkBase/>
  <HLinks>
    <vt:vector size="78" baseType="variant"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_Toc193592910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_Toc193592909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_Toc193592908</vt:lpwstr>
      </vt:variant>
      <vt:variant>
        <vt:i4>1638450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_Toc193592907</vt:lpwstr>
      </vt:variant>
      <vt:variant>
        <vt:i4>1638450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_Toc193592906</vt:lpwstr>
      </vt:variant>
      <vt:variant>
        <vt:i4>1638450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_Toc193592905</vt:lpwstr>
      </vt:variant>
      <vt:variant>
        <vt:i4>1638450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_Toc193592904</vt:lpwstr>
      </vt:variant>
      <vt:variant>
        <vt:i4>1638450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_Toc193592903</vt:lpwstr>
      </vt:variant>
      <vt:variant>
        <vt:i4>1638450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_Toc193592902</vt:lpwstr>
      </vt:variant>
      <vt:variant>
        <vt:i4>1638450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_Toc193592901</vt:lpwstr>
      </vt:variant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_Toc193592900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_Toc193592899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_Toc193592898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Document Subject</dc:subject>
  <dc:creator>David Melichar | Aptien Labs</dc:creator>
  <cp:keywords/>
  <dc:description/>
  <cp:lastModifiedBy>David Melichar | Aptien Labs</cp:lastModifiedBy>
  <cp:revision>4</cp:revision>
  <cp:lastPrinted>2008-03-13T15:02:00Z</cp:lastPrinted>
  <dcterms:created xsi:type="dcterms:W3CDTF">2026-01-28T20:14:00Z</dcterms:created>
  <dcterms:modified xsi:type="dcterms:W3CDTF">2026-01-29T07:56:00Z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0x0101009EF2EB2E84A2B24088840F7070505CB9</vt:lpwstr>
  </property>
  <property fmtid="{D5CDD505-2E9C-101B-9397-08002B2CF9AE}" pid="3" name="MediaServiceImageTags">
    <vt:lpwstr/>
  </property>
</Properties>
</file>